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tabs>
          <w:tab w:val="clear" w:pos="4536"/>
        </w:tabs>
        <w:snapToGrid w:val="0"/>
        <w:spacing w:after="120"/>
        <w:rPr>
          <w:rFonts w:eastAsia="宋体" w:cs="Arial"/>
          <w:sz w:val="22"/>
          <w:szCs w:val="22"/>
          <w:lang w:eastAsia="zh-CN"/>
        </w:rPr>
      </w:pPr>
      <w:r>
        <w:rPr>
          <w:rFonts w:cs="Arial"/>
          <w:sz w:val="22"/>
          <w:szCs w:val="22"/>
        </w:rPr>
        <w:t>3GPP TSG RAN WG1</w:t>
      </w:r>
      <w:r>
        <w:rPr>
          <w:rFonts w:cs="Arial" w:eastAsiaTheme="minorEastAsia"/>
          <w:sz w:val="22"/>
          <w:szCs w:val="22"/>
          <w:lang w:eastAsia="zh-CN"/>
        </w:rPr>
        <w:t xml:space="preserve"> </w:t>
      </w:r>
      <w:r>
        <w:rPr>
          <w:rFonts w:cs="Arial"/>
          <w:sz w:val="22"/>
          <w:szCs w:val="22"/>
        </w:rPr>
        <w:t>Meeting #10</w:t>
      </w:r>
      <w:r>
        <w:rPr>
          <w:rFonts w:hint="eastAsia" w:eastAsia="宋体" w:cs="Arial"/>
          <w:sz w:val="22"/>
          <w:szCs w:val="22"/>
          <w:lang w:eastAsia="zh-CN"/>
        </w:rPr>
        <w:t>4b-</w:t>
      </w:r>
      <w:r>
        <w:rPr>
          <w:rFonts w:cs="Arial"/>
          <w:sz w:val="22"/>
          <w:szCs w:val="22"/>
        </w:rPr>
        <w:t xml:space="preserve">e                                                              </w:t>
      </w:r>
      <w:r>
        <w:rPr>
          <w:rFonts w:hint="eastAsia" w:eastAsia="宋体" w:cs="Arial"/>
          <w:sz w:val="22"/>
          <w:szCs w:val="22"/>
          <w:lang w:eastAsia="zh-CN"/>
        </w:rPr>
        <w:t xml:space="preserve"> </w:t>
      </w:r>
      <w:r>
        <w:rPr>
          <w:rFonts w:cs="Arial"/>
          <w:sz w:val="22"/>
          <w:szCs w:val="22"/>
        </w:rPr>
        <w:t>R1-2</w:t>
      </w:r>
      <w:r>
        <w:rPr>
          <w:rFonts w:hint="eastAsia" w:eastAsia="宋体" w:cs="Arial"/>
          <w:sz w:val="22"/>
          <w:szCs w:val="22"/>
          <w:lang w:eastAsia="zh-CN"/>
        </w:rPr>
        <w:t>102667</w:t>
      </w:r>
    </w:p>
    <w:p>
      <w:pPr>
        <w:snapToGrid w:val="0"/>
        <w:spacing w:after="120" w:line="240" w:lineRule="auto"/>
        <w:rPr>
          <w:rFonts w:ascii="Arial" w:hAnsi="Arial" w:cs="Arial"/>
          <w:b/>
          <w:sz w:val="22"/>
          <w:szCs w:val="22"/>
        </w:rPr>
      </w:pPr>
      <w:r>
        <w:rPr>
          <w:rFonts w:ascii="Arial" w:hAnsi="Arial" w:cs="Arial"/>
          <w:b/>
          <w:sz w:val="22"/>
          <w:szCs w:val="22"/>
          <w:lang w:eastAsia="ja-JP"/>
        </w:rPr>
        <w:t xml:space="preserve">e-Meeting, </w:t>
      </w:r>
      <w:r>
        <w:rPr>
          <w:rFonts w:hint="eastAsia" w:ascii="Arial" w:hAnsi="Arial" w:cs="Arial"/>
          <w:b/>
          <w:sz w:val="22"/>
          <w:szCs w:val="22"/>
        </w:rPr>
        <w:t>April</w:t>
      </w:r>
      <w:r>
        <w:rPr>
          <w:rFonts w:ascii="Arial" w:hAnsi="Arial" w:cs="Arial"/>
          <w:b/>
          <w:sz w:val="22"/>
          <w:szCs w:val="22"/>
        </w:rPr>
        <w:t xml:space="preserve"> </w:t>
      </w:r>
      <w:r>
        <w:rPr>
          <w:rFonts w:hint="eastAsia" w:ascii="Arial" w:hAnsi="Arial" w:cs="Arial"/>
          <w:b/>
          <w:sz w:val="22"/>
          <w:szCs w:val="22"/>
        </w:rPr>
        <w:t>1</w:t>
      </w:r>
      <w:r>
        <w:rPr>
          <w:rFonts w:ascii="Arial" w:hAnsi="Arial" w:cs="Arial"/>
          <w:b/>
          <w:sz w:val="22"/>
          <w:szCs w:val="22"/>
        </w:rPr>
        <w:t>2</w:t>
      </w:r>
      <w:r>
        <w:rPr>
          <w:rFonts w:ascii="Arial" w:hAnsi="Arial" w:cs="Arial"/>
          <w:b/>
          <w:sz w:val="22"/>
          <w:szCs w:val="22"/>
          <w:vertAlign w:val="superscript"/>
          <w:lang w:eastAsia="ja-JP"/>
        </w:rPr>
        <w:t>th</w:t>
      </w:r>
      <w:r>
        <w:rPr>
          <w:rFonts w:ascii="Arial" w:hAnsi="Arial" w:cs="Arial"/>
          <w:b/>
          <w:sz w:val="22"/>
          <w:szCs w:val="22"/>
          <w:lang w:eastAsia="ja-JP"/>
        </w:rPr>
        <w:t>–</w:t>
      </w:r>
      <w:r>
        <w:rPr>
          <w:rFonts w:hint="eastAsia" w:ascii="Arial" w:hAnsi="Arial" w:cs="Arial"/>
          <w:b/>
          <w:sz w:val="22"/>
          <w:szCs w:val="22"/>
        </w:rPr>
        <w:t>April</w:t>
      </w:r>
      <w:r>
        <w:rPr>
          <w:rFonts w:ascii="Arial" w:hAnsi="Arial" w:cs="Arial"/>
          <w:b/>
          <w:sz w:val="22"/>
          <w:szCs w:val="22"/>
        </w:rPr>
        <w:t xml:space="preserve"> </w:t>
      </w:r>
      <w:r>
        <w:rPr>
          <w:rFonts w:hint="eastAsia" w:ascii="Arial" w:hAnsi="Arial" w:cs="Arial"/>
          <w:b/>
          <w:sz w:val="22"/>
          <w:szCs w:val="22"/>
        </w:rPr>
        <w:t>20</w:t>
      </w:r>
      <w:r>
        <w:rPr>
          <w:rFonts w:ascii="Arial" w:hAnsi="Arial" w:cs="Arial"/>
          <w:b/>
          <w:sz w:val="22"/>
          <w:szCs w:val="22"/>
          <w:vertAlign w:val="superscript"/>
        </w:rPr>
        <w:t>th</w:t>
      </w:r>
      <w:r>
        <w:rPr>
          <w:rFonts w:ascii="Arial" w:hAnsi="Arial" w:cs="Arial"/>
          <w:b/>
          <w:sz w:val="22"/>
          <w:szCs w:val="22"/>
          <w:lang w:eastAsia="ja-JP"/>
        </w:rPr>
        <w:t>, 202</w:t>
      </w:r>
      <w:r>
        <w:rPr>
          <w:rFonts w:hint="eastAsia" w:ascii="Arial" w:hAnsi="Arial" w:cs="Arial"/>
          <w:b/>
          <w:sz w:val="22"/>
          <w:szCs w:val="22"/>
        </w:rPr>
        <w:t>1</w:t>
      </w:r>
    </w:p>
    <w:p>
      <w:pPr>
        <w:snapToGrid w:val="0"/>
        <w:spacing w:after="120" w:line="240" w:lineRule="auto"/>
        <w:rPr>
          <w:rFonts w:ascii="Arial" w:hAnsi="Arial" w:eastAsia="MS Mincho" w:cs="Arial"/>
          <w:b/>
          <w:sz w:val="22"/>
          <w:szCs w:val="22"/>
          <w:lang w:eastAsia="ja-JP"/>
        </w:rPr>
      </w:pPr>
      <w:r>
        <w:rPr>
          <w:rFonts w:ascii="Arial" w:hAnsi="Arial" w:eastAsia="MS Mincho" w:cs="Arial"/>
          <w:b/>
          <w:sz w:val="22"/>
          <w:szCs w:val="22"/>
          <w:lang w:eastAsia="ja-JP"/>
        </w:rPr>
        <w:t>Source:              ZTE</w:t>
      </w:r>
    </w:p>
    <w:p>
      <w:pPr>
        <w:pStyle w:val="20"/>
        <w:tabs>
          <w:tab w:val="clear" w:pos="4536"/>
        </w:tabs>
        <w:snapToGrid w:val="0"/>
        <w:spacing w:after="120"/>
        <w:rPr>
          <w:rFonts w:eastAsia="宋体" w:cs="Arial"/>
          <w:sz w:val="22"/>
          <w:szCs w:val="22"/>
          <w:lang w:eastAsia="zh-CN"/>
        </w:rPr>
      </w:pPr>
      <w:r>
        <w:rPr>
          <w:rFonts w:eastAsia="宋体" w:cs="Arial"/>
          <w:sz w:val="22"/>
          <w:szCs w:val="22"/>
          <w:lang w:eastAsia="zh-CN"/>
        </w:rPr>
        <w:t>Title:                   Further details on Multi-beam and Multi-TRP operation</w:t>
      </w:r>
    </w:p>
    <w:p>
      <w:pPr>
        <w:pStyle w:val="20"/>
        <w:tabs>
          <w:tab w:val="clear" w:pos="4536"/>
        </w:tabs>
        <w:snapToGrid w:val="0"/>
        <w:spacing w:after="120"/>
        <w:rPr>
          <w:rFonts w:eastAsia="宋体" w:cs="Arial"/>
          <w:sz w:val="22"/>
          <w:szCs w:val="22"/>
          <w:lang w:eastAsia="zh-CN"/>
        </w:rPr>
      </w:pPr>
      <w:r>
        <w:rPr>
          <w:rFonts w:eastAsia="宋体" w:cs="Arial"/>
          <w:sz w:val="22"/>
          <w:szCs w:val="22"/>
          <w:lang w:eastAsia="zh-CN"/>
        </w:rPr>
        <w:t>Agenda Item:</w:t>
      </w:r>
      <w:bookmarkStart w:id="0" w:name="Source"/>
      <w:bookmarkEnd w:id="0"/>
      <w:r>
        <w:rPr>
          <w:rFonts w:eastAsia="宋体" w:cs="Arial"/>
          <w:sz w:val="22"/>
          <w:szCs w:val="22"/>
          <w:lang w:eastAsia="zh-CN"/>
        </w:rPr>
        <w:t xml:space="preserve">     8.1.5</w:t>
      </w:r>
    </w:p>
    <w:p>
      <w:pPr>
        <w:pStyle w:val="20"/>
        <w:tabs>
          <w:tab w:val="clear" w:pos="4536"/>
        </w:tabs>
        <w:snapToGrid w:val="0"/>
        <w:spacing w:after="120"/>
        <w:rPr>
          <w:rFonts w:eastAsia="宋体" w:cs="Arial"/>
          <w:sz w:val="22"/>
          <w:szCs w:val="22"/>
          <w:lang w:eastAsia="zh-CN"/>
        </w:rPr>
      </w:pPr>
      <w:r>
        <w:rPr>
          <w:rFonts w:eastAsia="宋体" w:cs="Arial"/>
          <w:sz w:val="22"/>
          <w:szCs w:val="22"/>
          <w:lang w:eastAsia="zh-CN"/>
        </w:rPr>
        <w:t>Document for:</w:t>
      </w:r>
      <w:bookmarkStart w:id="1" w:name="DocumentFor"/>
      <w:bookmarkEnd w:id="1"/>
      <w:r>
        <w:rPr>
          <w:rFonts w:eastAsia="宋体" w:cs="Arial"/>
          <w:sz w:val="22"/>
          <w:szCs w:val="22"/>
          <w:lang w:eastAsia="zh-CN"/>
        </w:rPr>
        <w:t xml:space="preserve">   Discussion and Decision</w:t>
      </w:r>
    </w:p>
    <w:p>
      <w:pPr>
        <w:pBdr>
          <w:bottom w:val="single" w:color="auto" w:sz="4" w:space="1"/>
        </w:pBdr>
        <w:tabs>
          <w:tab w:val="left" w:pos="2552"/>
        </w:tabs>
        <w:snapToGrid w:val="0"/>
        <w:spacing w:after="120" w:line="240" w:lineRule="auto"/>
        <w:rPr>
          <w:sz w:val="4"/>
          <w:szCs w:val="4"/>
        </w:rPr>
      </w:pPr>
    </w:p>
    <w:p>
      <w:pPr>
        <w:pStyle w:val="2"/>
        <w:spacing w:before="240" w:after="120"/>
        <w:rPr>
          <w:lang w:val="en-US"/>
        </w:rPr>
      </w:pPr>
      <w:r>
        <w:rPr>
          <w:lang w:val="en-US"/>
        </w:rPr>
        <w:t>Introduction</w:t>
      </w:r>
    </w:p>
    <w:p>
      <w:pPr>
        <w:spacing w:after="120"/>
      </w:pPr>
      <w:r>
        <w:rPr>
          <w:rFonts w:hint="eastAsia"/>
        </w:rPr>
        <w:t>In Rel-1</w:t>
      </w:r>
      <w:r>
        <w:t>7</w:t>
      </w:r>
      <w:r>
        <w:rPr>
          <w:rFonts w:hint="eastAsia"/>
        </w:rPr>
        <w:t xml:space="preserve"> NR, in order to </w:t>
      </w:r>
      <w:r>
        <w:t>enhance</w:t>
      </w:r>
      <w:r>
        <w:rPr>
          <w:rFonts w:hint="eastAsia"/>
        </w:rPr>
        <w:t xml:space="preserve"> the performance of </w:t>
      </w:r>
      <w:r>
        <w:t>m</w:t>
      </w:r>
      <w:r>
        <w:rPr>
          <w:rFonts w:hint="eastAsia"/>
        </w:rPr>
        <w:t xml:space="preserve">ulti-beam and </w:t>
      </w:r>
      <w:r>
        <w:t>m</w:t>
      </w:r>
      <w:r>
        <w:rPr>
          <w:rFonts w:hint="eastAsia"/>
        </w:rPr>
        <w:t xml:space="preserve">ulti-TRP operation, some solutions have been designed and </w:t>
      </w:r>
      <w:r>
        <w:t>specified</w:t>
      </w:r>
      <w:r>
        <w:rPr>
          <w:rFonts w:hint="eastAsia"/>
        </w:rPr>
        <w:t xml:space="preserve"> accordingly. Regarding the enhancement on </w:t>
      </w:r>
      <w:r>
        <w:t>m</w:t>
      </w:r>
      <w:r>
        <w:rPr>
          <w:rFonts w:hint="eastAsia"/>
        </w:rPr>
        <w:t>u</w:t>
      </w:r>
      <w:r>
        <w:t>l</w:t>
      </w:r>
      <w:r>
        <w:rPr>
          <w:rFonts w:hint="eastAsia"/>
        </w:rPr>
        <w:t>ti-beam operation, the aspects of</w:t>
      </w:r>
      <w:r>
        <w:rPr>
          <w:lang w:eastAsia="ko-KR"/>
        </w:rPr>
        <w:t xml:space="preserve"> unified TCI framework for both DL and UL transmission, fast UE panel switching and FR2 MPE mitigation</w:t>
      </w:r>
      <w:r>
        <w:rPr>
          <w:rFonts w:hint="eastAsia"/>
        </w:rPr>
        <w:t xml:space="preserve"> have been reached. Regarding the enhancement on </w:t>
      </w:r>
      <w:r>
        <w:t>m</w:t>
      </w:r>
      <w:r>
        <w:rPr>
          <w:rFonts w:hint="eastAsia"/>
        </w:rPr>
        <w:t>u</w:t>
      </w:r>
      <w:r>
        <w:t>l</w:t>
      </w:r>
      <w:r>
        <w:rPr>
          <w:rFonts w:hint="eastAsia"/>
        </w:rPr>
        <w:t xml:space="preserve">ti-TRP operation, </w:t>
      </w:r>
      <w:r>
        <w:t xml:space="preserve">PDCCH/PUCCH/PUSCH repetition, inter-cell mTRP enhancement, beam management for multi-TRP operation and multi-TRP based HST enhancement </w:t>
      </w:r>
      <w:r>
        <w:rPr>
          <w:rFonts w:hint="eastAsia"/>
          <w:lang w:val="en-GB"/>
        </w:rPr>
        <w:t>have</w:t>
      </w:r>
      <w:r>
        <w:rPr>
          <w:lang w:val="en-GB"/>
        </w:rPr>
        <w:t xml:space="preserve"> been introduced </w:t>
      </w:r>
      <w:r>
        <w:rPr>
          <w:rFonts w:hint="eastAsia"/>
        </w:rPr>
        <w:t>for</w:t>
      </w:r>
      <w:r>
        <w:rPr>
          <w:lang w:val="en-GB"/>
        </w:rPr>
        <w:t xml:space="preserve"> better performance</w:t>
      </w:r>
      <w:r>
        <w:rPr>
          <w:rFonts w:hint="eastAsia"/>
        </w:rPr>
        <w:t xml:space="preserve"> and reliability</w:t>
      </w:r>
      <w:r>
        <w:rPr>
          <w:lang w:val="en-GB"/>
        </w:rPr>
        <w:t>.</w:t>
      </w:r>
      <w:r>
        <w:rPr>
          <w:rFonts w:hint="eastAsia"/>
        </w:rPr>
        <w:t xml:space="preserve"> </w:t>
      </w:r>
      <w:r>
        <w:rPr>
          <w:lang w:val="en-GB"/>
        </w:rPr>
        <w:t xml:space="preserve">In this contribution, we </w:t>
      </w:r>
      <w:r>
        <w:rPr>
          <w:rFonts w:hint="eastAsia"/>
        </w:rPr>
        <w:t>provide our views on</w:t>
      </w:r>
      <w:r>
        <w:rPr>
          <w:lang w:val="en-GB"/>
        </w:rPr>
        <w:t xml:space="preserve"> </w:t>
      </w:r>
      <w:r>
        <w:rPr>
          <w:rFonts w:hint="eastAsia"/>
        </w:rPr>
        <w:t xml:space="preserve">some further details of </w:t>
      </w:r>
      <w:r>
        <w:t>m</w:t>
      </w:r>
      <w:r>
        <w:rPr>
          <w:rFonts w:hint="eastAsia"/>
        </w:rPr>
        <w:t>u</w:t>
      </w:r>
      <w:r>
        <w:t>l</w:t>
      </w:r>
      <w:r>
        <w:rPr>
          <w:rFonts w:hint="eastAsia"/>
        </w:rPr>
        <w:t>ti-beam and</w:t>
      </w:r>
      <w:r>
        <w:t xml:space="preserve"> m</w:t>
      </w:r>
      <w:r>
        <w:rPr>
          <w:rFonts w:hint="eastAsia"/>
        </w:rPr>
        <w:t>ulti-TRP operation</w:t>
      </w:r>
      <w:r>
        <w:rPr>
          <w:lang w:val="en-GB"/>
        </w:rPr>
        <w:t>.</w:t>
      </w:r>
    </w:p>
    <w:p>
      <w:pPr>
        <w:pStyle w:val="2"/>
        <w:spacing w:before="240" w:after="120"/>
        <w:rPr>
          <w:lang w:val="en-US"/>
        </w:rPr>
      </w:pPr>
      <w:bookmarkStart w:id="3" w:name="_GoBack"/>
      <w:bookmarkEnd w:id="3"/>
      <w:r>
        <w:rPr>
          <w:rFonts w:hint="eastAsia"/>
          <w:lang w:val="en-US"/>
        </w:rPr>
        <w:t xml:space="preserve">Unified TCI framework for downlink/uplink transmission with </w:t>
      </w:r>
      <w:r>
        <w:rPr>
          <w:lang w:val="en-US"/>
        </w:rPr>
        <w:t>m</w:t>
      </w:r>
      <w:r>
        <w:rPr>
          <w:rFonts w:hint="eastAsia"/>
          <w:lang w:val="en-US"/>
        </w:rPr>
        <w:t>TRP</w:t>
      </w:r>
    </w:p>
    <w:p>
      <w:pPr>
        <w:spacing w:after="120"/>
      </w:pPr>
      <w:r>
        <w:rPr>
          <w:rFonts w:hint="eastAsia"/>
        </w:rPr>
        <w:t xml:space="preserve">Unified TCI is one of essential enhancement for beam management in Rel-17, as well as uplink transmission with </w:t>
      </w:r>
      <w:r>
        <w:t>m</w:t>
      </w:r>
      <w:r>
        <w:rPr>
          <w:rFonts w:hint="eastAsia"/>
        </w:rPr>
        <w:t xml:space="preserve">TRP. Whether unified TCI should be supported in mTRP scenario has been discussed during latest RAN1 meetings, and a conclusion was reached in RAN1#104-e as follows.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afterLines="0" w:line="360" w:lineRule="auto"/>
              <w:rPr>
                <w:b/>
                <w:bCs/>
              </w:rPr>
            </w:pPr>
            <w:r>
              <w:rPr>
                <w:b/>
                <w:bCs/>
              </w:rPr>
              <w:t>Conclusion</w:t>
            </w:r>
          </w:p>
          <w:p>
            <w:pPr>
              <w:snapToGrid w:val="0"/>
              <w:spacing w:after="0" w:afterLines="0" w:line="240" w:lineRule="auto"/>
            </w:pPr>
            <w:r>
              <w:t xml:space="preserve">On Rel.17 unified TCI framework, based on the agreements in RAN1#102-e and 103-e, the following terms are defined as follows (at least for the purpose of discussion and reaching agreements). </w:t>
            </w:r>
          </w:p>
          <w:p>
            <w:pPr>
              <w:snapToGrid w:val="0"/>
              <w:spacing w:after="0" w:afterLines="0" w:line="240" w:lineRule="auto"/>
            </w:pPr>
            <w:r>
              <w:t>For M=1:</w:t>
            </w:r>
          </w:p>
          <w:p>
            <w:pPr>
              <w:pStyle w:val="129"/>
              <w:numPr>
                <w:ilvl w:val="0"/>
                <w:numId w:val="8"/>
              </w:numPr>
              <w:suppressAutoHyphens/>
              <w:autoSpaceDN w:val="0"/>
              <w:snapToGrid w:val="0"/>
              <w:spacing w:after="0" w:afterLines="0" w:line="240" w:lineRule="auto"/>
              <w:textAlignment w:val="baseline"/>
            </w:pPr>
            <w:r>
              <w:t xml:space="preserve">DL TCI: The source reference signal(s) (analogous to Rel.15, two, if qcl_Type2 is configured in addition to qcl_Type1) in the DL TCI provides QCL information at least for UE-dedicated reception on PDSCH and all of CORESETs in a CC </w:t>
            </w:r>
          </w:p>
          <w:p>
            <w:pPr>
              <w:snapToGrid w:val="0"/>
              <w:spacing w:after="0" w:afterLines="0" w:line="240" w:lineRule="auto"/>
            </w:pPr>
            <w:r>
              <w:t>For N=1:</w:t>
            </w:r>
          </w:p>
          <w:p>
            <w:pPr>
              <w:pStyle w:val="129"/>
              <w:numPr>
                <w:ilvl w:val="0"/>
                <w:numId w:val="8"/>
              </w:numPr>
              <w:suppressAutoHyphens/>
              <w:autoSpaceDN w:val="0"/>
              <w:snapToGrid w:val="0"/>
              <w:spacing w:after="0" w:afterLines="0" w:line="240" w:lineRule="auto"/>
              <w:textAlignment w:val="baseline"/>
            </w:pPr>
            <w:r>
              <w:t>UL TCI: The source reference signal in the UL TCI provides a reference for determining UL TX spatial filter at least for dynamic-grant/configured-grant based PUSCH and all of dedicated PUCCH resources in a CC</w:t>
            </w:r>
          </w:p>
          <w:p>
            <w:pPr>
              <w:snapToGrid w:val="0"/>
              <w:spacing w:after="0" w:afterLines="0" w:line="240" w:lineRule="auto"/>
            </w:pPr>
            <w:r>
              <w:t>For M=N=1:</w:t>
            </w:r>
          </w:p>
          <w:p>
            <w:pPr>
              <w:pStyle w:val="129"/>
              <w:numPr>
                <w:ilvl w:val="0"/>
                <w:numId w:val="8"/>
              </w:numPr>
              <w:suppressAutoHyphens/>
              <w:autoSpaceDN w:val="0"/>
              <w:snapToGrid w:val="0"/>
              <w:spacing w:after="0" w:afterLines="0" w:line="240" w:lineRule="auto"/>
              <w:textAlignment w:val="baseline"/>
            </w:pPr>
            <w:r>
              <w:t xml:space="preserve">Joint DL/UL TCI:  A TCI refers to at least </w:t>
            </w:r>
            <w:r>
              <w:rPr>
                <w:rFonts w:eastAsia="DengXian"/>
                <w:bCs/>
                <w:lang w:eastAsia="ko-KR"/>
              </w:rPr>
              <w:t>a common source reference RS used for determining both the DL QCL information and the UL TX spatial filter</w:t>
            </w:r>
            <w:r>
              <w:t xml:space="preserve">.  </w:t>
            </w:r>
          </w:p>
          <w:p>
            <w:pPr>
              <w:pStyle w:val="129"/>
              <w:numPr>
                <w:ilvl w:val="0"/>
                <w:numId w:val="8"/>
              </w:numPr>
              <w:suppressAutoHyphens/>
              <w:autoSpaceDN w:val="0"/>
              <w:snapToGrid w:val="0"/>
              <w:spacing w:after="0" w:afterLines="0" w:line="240" w:lineRule="auto"/>
              <w:textAlignment w:val="baseline"/>
            </w:pPr>
            <w:r>
              <w:t>Separate DL/UL TCI: The DL TCI and UL TCI are distinct (therefore, separate).</w:t>
            </w:r>
          </w:p>
          <w:p>
            <w:pPr>
              <w:snapToGrid w:val="0"/>
              <w:spacing w:after="0" w:afterLines="0" w:line="240" w:lineRule="auto"/>
            </w:pPr>
            <w:r>
              <w:t>For M&gt;1:</w:t>
            </w:r>
          </w:p>
          <w:p>
            <w:pPr>
              <w:pStyle w:val="129"/>
              <w:numPr>
                <w:ilvl w:val="0"/>
                <w:numId w:val="8"/>
              </w:numPr>
              <w:suppressAutoHyphens/>
              <w:autoSpaceDN w:val="0"/>
              <w:snapToGrid w:val="0"/>
              <w:spacing w:after="0" w:afterLines="0" w:line="240" w:lineRule="auto"/>
              <w:textAlignment w:val="baseline"/>
            </w:pPr>
            <w:r>
              <w:t>DL TCI: Each of the M source reference signals (or 2M, if qcl_Type2 is configured in addition to qcl_Type1) in the M DL TCIs provides QCL information at least for one of the M beam pair links for UE-dedicated receptions on PDSCH and/or subset of CORESETs in a CC</w:t>
            </w:r>
          </w:p>
          <w:p>
            <w:pPr>
              <w:snapToGrid w:val="0"/>
              <w:spacing w:after="0" w:afterLines="0" w:line="240" w:lineRule="auto"/>
            </w:pPr>
            <w:r>
              <w:t>For N&gt;1:</w:t>
            </w:r>
          </w:p>
          <w:p>
            <w:pPr>
              <w:pStyle w:val="129"/>
              <w:numPr>
                <w:ilvl w:val="0"/>
                <w:numId w:val="8"/>
              </w:numPr>
              <w:suppressAutoHyphens/>
              <w:autoSpaceDN w:val="0"/>
              <w:snapToGrid w:val="0"/>
              <w:spacing w:after="0" w:afterLines="0" w:line="240" w:lineRule="auto"/>
              <w:textAlignment w:val="baseline"/>
            </w:pPr>
            <w:r>
              <w:t>UL TCI: Each of the N source reference signals in the N UL TCIs provide a reference for determining UL TX spatial filter at least for one of the N beam pair links associated with dynamic-grant(s)/configured-grant(s) based PUSCH, and/or subset of dedicated PUCCH resources in a CC</w:t>
            </w:r>
          </w:p>
          <w:p>
            <w:pPr>
              <w:snapToGrid w:val="0"/>
              <w:spacing w:after="0" w:afterLines="0" w:line="240" w:lineRule="auto"/>
            </w:pPr>
            <w:r>
              <w:t>For M&gt;1 and/or N&gt;1:</w:t>
            </w:r>
          </w:p>
          <w:p>
            <w:pPr>
              <w:pStyle w:val="129"/>
              <w:numPr>
                <w:ilvl w:val="0"/>
                <w:numId w:val="8"/>
              </w:numPr>
              <w:suppressAutoHyphens/>
              <w:autoSpaceDN w:val="0"/>
              <w:snapToGrid w:val="0"/>
              <w:spacing w:after="0" w:afterLines="0" w:line="240" w:lineRule="auto"/>
              <w:textAlignment w:val="baseline"/>
            </w:pPr>
            <w:r>
              <w:t xml:space="preserve">Joint DL/UL TCI:  A TCI refers to at least </w:t>
            </w:r>
            <w:r>
              <w:rPr>
                <w:rFonts w:eastAsia="DengXian"/>
                <w:bCs/>
                <w:lang w:eastAsia="ko-KR"/>
              </w:rPr>
              <w:t>a common source reference RS used for determining both the DL QCL information and the UL TX spatial filter</w:t>
            </w:r>
            <w:r>
              <w:t xml:space="preserve">. In this case, M=N.  </w:t>
            </w:r>
          </w:p>
          <w:p>
            <w:pPr>
              <w:pStyle w:val="129"/>
              <w:numPr>
                <w:ilvl w:val="0"/>
                <w:numId w:val="8"/>
              </w:numPr>
              <w:suppressAutoHyphens/>
              <w:autoSpaceDN w:val="0"/>
              <w:snapToGrid w:val="0"/>
              <w:spacing w:after="0" w:afterLines="0" w:line="240" w:lineRule="auto"/>
              <w:textAlignment w:val="baseline"/>
            </w:pPr>
            <w:r>
              <w:t>Separate DL/UL TCI: The M DL TCIs and N UL TCIs are distinct (therefore, separate).</w:t>
            </w:r>
          </w:p>
          <w:p>
            <w:pPr>
              <w:snapToGrid w:val="0"/>
              <w:spacing w:after="0" w:afterLines="0" w:line="240" w:lineRule="auto"/>
            </w:pPr>
            <w:r>
              <w:t>Note: Other TCI types/terms such as “common TCI” are not used.</w:t>
            </w:r>
          </w:p>
          <w:p>
            <w:pPr>
              <w:snapToGrid w:val="0"/>
              <w:spacing w:after="0" w:afterLines="0" w:line="240" w:lineRule="auto"/>
            </w:pPr>
          </w:p>
        </w:tc>
      </w:tr>
    </w:tbl>
    <w:p>
      <w:pPr>
        <w:spacing w:before="120" w:beforeLines="50" w:after="120"/>
      </w:pPr>
      <w:r>
        <w:rPr>
          <w:rFonts w:hint="eastAsia"/>
        </w:rPr>
        <w:t xml:space="preserve">M&gt;1 and/or N&gt;1 </w:t>
      </w:r>
      <w:r>
        <w:t>is</w:t>
      </w:r>
      <w:r>
        <w:rPr>
          <w:rFonts w:hint="eastAsia"/>
        </w:rPr>
        <w:t xml:space="preserve"> supposed to apply M DL or N UL indicated TCI states to at least one DL or UL channel or signal respectively. In our views, M&gt;1 and/or N&gt;1 represents multiple TCI states indicated for updating source </w:t>
      </w:r>
      <w:r>
        <w:rPr>
          <w:rFonts w:eastAsia="DengXian"/>
          <w:bCs/>
          <w:lang w:eastAsia="ko-KR"/>
        </w:rPr>
        <w:t xml:space="preserve">reference </w:t>
      </w:r>
      <w:r>
        <w:rPr>
          <w:rFonts w:hint="eastAsia"/>
        </w:rPr>
        <w:t xml:space="preserve">RS for DL or UL channels or signals corresponding to different TRPs. </w:t>
      </w:r>
    </w:p>
    <w:p>
      <w:pPr>
        <w:spacing w:after="120"/>
      </w:pPr>
      <w:r>
        <w:rPr>
          <w:rFonts w:hint="eastAsia"/>
        </w:rPr>
        <w:t>In this subsection, how to apply the indicated TCI state to the target channels/signals in mTRP scenario is analyzed.</w:t>
      </w:r>
      <w:r>
        <w:rPr>
          <w:rFonts w:hint="eastAsia" w:eastAsia="微软雅黑"/>
        </w:rPr>
        <w:t xml:space="preserve"> </w:t>
      </w:r>
    </w:p>
    <w:p>
      <w:pPr>
        <w:pStyle w:val="3"/>
        <w:spacing w:before="240" w:after="120"/>
        <w:ind w:left="709"/>
        <w:rPr>
          <w:rFonts w:eastAsia="微软雅黑"/>
          <w:szCs w:val="20"/>
          <w:lang w:val="en-US"/>
        </w:rPr>
      </w:pPr>
      <w:r>
        <w:rPr>
          <w:rFonts w:hint="eastAsia" w:eastAsia="微软雅黑"/>
          <w:szCs w:val="20"/>
          <w:lang w:val="en-US"/>
        </w:rPr>
        <w:t xml:space="preserve">Unified TCI state applied to </w:t>
      </w:r>
      <w:r>
        <w:rPr>
          <w:rFonts w:hint="eastAsia"/>
          <w:lang w:val="en-US"/>
        </w:rPr>
        <w:t xml:space="preserve">DL/UL channel/signal </w:t>
      </w:r>
      <w:r>
        <w:rPr>
          <w:rFonts w:hint="eastAsia" w:eastAsia="微软雅黑"/>
          <w:szCs w:val="20"/>
          <w:lang w:val="en-US"/>
        </w:rPr>
        <w:t xml:space="preserve">in </w:t>
      </w:r>
      <w:r>
        <w:rPr>
          <w:rFonts w:eastAsia="微软雅黑"/>
          <w:szCs w:val="20"/>
          <w:lang w:val="en-US"/>
        </w:rPr>
        <w:t>m</w:t>
      </w:r>
      <w:r>
        <w:rPr>
          <w:rFonts w:hint="eastAsia" w:eastAsia="微软雅黑"/>
          <w:szCs w:val="20"/>
          <w:lang w:val="en-US"/>
        </w:rPr>
        <w:t>TRP</w:t>
      </w:r>
    </w:p>
    <w:p>
      <w:pPr>
        <w:spacing w:after="120"/>
        <w:rPr>
          <w:rFonts w:eastAsia="微软雅黑"/>
        </w:rPr>
      </w:pPr>
      <w:r>
        <w:rPr>
          <w:rFonts w:hint="eastAsia" w:eastAsia="微软雅黑"/>
        </w:rPr>
        <w:t xml:space="preserve">When a unified TCI state (source TCI state) indicated by a DCI format can be applied to (target) </w:t>
      </w:r>
      <w:r>
        <w:rPr>
          <w:rFonts w:hint="eastAsia"/>
        </w:rPr>
        <w:t xml:space="preserve">channel/signal </w:t>
      </w:r>
      <w:r>
        <w:rPr>
          <w:rFonts w:hint="eastAsia" w:eastAsia="微软雅黑"/>
        </w:rPr>
        <w:t xml:space="preserve">of downlink and/or uplink in </w:t>
      </w:r>
      <w:r>
        <w:rPr>
          <w:rFonts w:eastAsia="微软雅黑"/>
        </w:rPr>
        <w:t>m</w:t>
      </w:r>
      <w:r>
        <w:rPr>
          <w:rFonts w:hint="eastAsia" w:eastAsia="微软雅黑"/>
        </w:rPr>
        <w:t xml:space="preserve">TRP, the TRP related to the unified TCI state and the TRP related to the applied (target) </w:t>
      </w:r>
      <w:r>
        <w:rPr>
          <w:rFonts w:hint="eastAsia"/>
        </w:rPr>
        <w:t xml:space="preserve">channel/signal </w:t>
      </w:r>
      <w:r>
        <w:rPr>
          <w:rFonts w:hint="eastAsia" w:eastAsia="微软雅黑"/>
        </w:rPr>
        <w:t>should be aligned</w:t>
      </w:r>
      <w:r>
        <w:rPr>
          <w:rFonts w:eastAsia="微软雅黑"/>
        </w:rPr>
        <w:t xml:space="preserve">. </w:t>
      </w:r>
      <w:r>
        <w:rPr>
          <w:rFonts w:hint="eastAsia" w:eastAsia="微软雅黑"/>
        </w:rPr>
        <w:t xml:space="preserve">In </w:t>
      </w:r>
      <w:r>
        <w:rPr>
          <w:rFonts w:eastAsia="微软雅黑"/>
        </w:rPr>
        <w:t>the case of m</w:t>
      </w:r>
      <w:r>
        <w:rPr>
          <w:rFonts w:hint="eastAsia" w:eastAsia="微软雅黑"/>
        </w:rPr>
        <w:t xml:space="preserve">TRP, a unified TCI state indicated by a TCI codepoint value in DCI format comprises one TCI state corresponding to one TRP (but no information on which TRP) or two TCI states corresponding to two TRPs. Meanwhile, the target channel/signal is also related to one or two TRPs. </w:t>
      </w:r>
    </w:p>
    <w:p>
      <w:pPr>
        <w:spacing w:after="120"/>
        <w:rPr>
          <w:rFonts w:eastAsia="微软雅黑"/>
        </w:rPr>
      </w:pPr>
      <w:r>
        <w:rPr>
          <w:rFonts w:hint="eastAsia" w:eastAsia="微软雅黑"/>
        </w:rPr>
        <w:t xml:space="preserve">Then, there are the following cases </w:t>
      </w:r>
      <w:r>
        <w:rPr>
          <w:rFonts w:eastAsia="微软雅黑"/>
        </w:rPr>
        <w:t xml:space="preserve">which </w:t>
      </w:r>
      <w:r>
        <w:rPr>
          <w:rFonts w:hint="eastAsia" w:eastAsia="微软雅黑"/>
        </w:rPr>
        <w:t>are need</w:t>
      </w:r>
      <w:r>
        <w:rPr>
          <w:rFonts w:eastAsia="微软雅黑"/>
        </w:rPr>
        <w:t>ed</w:t>
      </w:r>
      <w:r>
        <w:rPr>
          <w:rFonts w:hint="eastAsia" w:eastAsia="微软雅黑"/>
        </w:rPr>
        <w:t xml:space="preserve"> to be considered for TCI state updating for the target channel/signal:</w:t>
      </w:r>
    </w:p>
    <w:p>
      <w:pPr>
        <w:numPr>
          <w:ilvl w:val="0"/>
          <w:numId w:val="9"/>
        </w:numPr>
        <w:spacing w:after="120"/>
        <w:rPr>
          <w:rFonts w:eastAsia="微软雅黑"/>
        </w:rPr>
      </w:pPr>
      <w:r>
        <w:rPr>
          <w:rFonts w:hint="eastAsia" w:eastAsia="微软雅黑"/>
        </w:rPr>
        <w:t>Case 1:</w:t>
      </w:r>
      <w:r>
        <w:rPr>
          <w:rFonts w:eastAsia="微软雅黑"/>
        </w:rPr>
        <w:t xml:space="preserve"> Unified</w:t>
      </w:r>
      <w:r>
        <w:rPr>
          <w:rFonts w:hint="eastAsia" w:eastAsia="微软雅黑"/>
        </w:rPr>
        <w:t xml:space="preserve"> TCI </w:t>
      </w:r>
      <w:r>
        <w:rPr>
          <w:rFonts w:eastAsia="微软雅黑"/>
        </w:rPr>
        <w:t xml:space="preserve">codepoint with a single TCI state is applied to one given </w:t>
      </w:r>
      <w:r>
        <w:rPr>
          <w:rFonts w:hint="eastAsia" w:eastAsia="微软雅黑"/>
        </w:rPr>
        <w:t xml:space="preserve">TRP, </w:t>
      </w:r>
      <w:r>
        <w:rPr>
          <w:rFonts w:eastAsia="微软雅黑"/>
        </w:rPr>
        <w:t xml:space="preserve">and then </w:t>
      </w:r>
      <w:r>
        <w:rPr>
          <w:rFonts w:hint="eastAsia" w:eastAsia="微软雅黑"/>
        </w:rPr>
        <w:t xml:space="preserve">target channel/signal related to </w:t>
      </w:r>
      <w:r>
        <w:rPr>
          <w:rFonts w:eastAsia="微软雅黑"/>
        </w:rPr>
        <w:t>a single T</w:t>
      </w:r>
      <w:r>
        <w:rPr>
          <w:rFonts w:hint="eastAsia" w:eastAsia="微软雅黑"/>
        </w:rPr>
        <w:t>CI state</w:t>
      </w:r>
      <w:r>
        <w:rPr>
          <w:rFonts w:eastAsia="微软雅黑"/>
        </w:rPr>
        <w:t xml:space="preserve"> transmission</w:t>
      </w:r>
      <w:r>
        <w:rPr>
          <w:rFonts w:hint="eastAsia" w:eastAsia="微软雅黑"/>
        </w:rPr>
        <w:t xml:space="preserve"> correspon</w:t>
      </w:r>
      <w:r>
        <w:rPr>
          <w:rFonts w:eastAsia="微软雅黑"/>
        </w:rPr>
        <w:t>ds</w:t>
      </w:r>
      <w:r>
        <w:rPr>
          <w:rFonts w:hint="eastAsia" w:eastAsia="微软雅黑"/>
        </w:rPr>
        <w:t xml:space="preserve"> to </w:t>
      </w:r>
      <w:r>
        <w:rPr>
          <w:rFonts w:eastAsia="微软雅黑"/>
        </w:rPr>
        <w:t xml:space="preserve">the same </w:t>
      </w:r>
      <w:r>
        <w:rPr>
          <w:rFonts w:hint="eastAsia" w:eastAsia="微软雅黑"/>
        </w:rPr>
        <w:t>TRP</w:t>
      </w:r>
      <w:r>
        <w:rPr>
          <w:rFonts w:eastAsia="微软雅黑"/>
        </w:rPr>
        <w:t>.</w:t>
      </w:r>
    </w:p>
    <w:p>
      <w:pPr>
        <w:numPr>
          <w:ilvl w:val="0"/>
          <w:numId w:val="9"/>
        </w:numPr>
        <w:spacing w:after="120"/>
        <w:rPr>
          <w:rFonts w:eastAsia="微软雅黑"/>
        </w:rPr>
      </w:pPr>
      <w:r>
        <w:rPr>
          <w:rFonts w:hint="eastAsia" w:eastAsia="微软雅黑"/>
        </w:rPr>
        <w:t xml:space="preserve">Case 2: </w:t>
      </w:r>
      <w:r>
        <w:rPr>
          <w:rFonts w:eastAsia="微软雅黑"/>
        </w:rPr>
        <w:t>Unified</w:t>
      </w:r>
      <w:r>
        <w:rPr>
          <w:rFonts w:hint="eastAsia" w:eastAsia="微软雅黑"/>
        </w:rPr>
        <w:t xml:space="preserve"> TCI </w:t>
      </w:r>
      <w:r>
        <w:rPr>
          <w:rFonts w:eastAsia="微软雅黑"/>
        </w:rPr>
        <w:t xml:space="preserve">codepoint with </w:t>
      </w:r>
      <w:r>
        <w:rPr>
          <w:rFonts w:hint="eastAsia" w:eastAsia="微软雅黑"/>
        </w:rPr>
        <w:t xml:space="preserve">two TCI states </w:t>
      </w:r>
      <w:r>
        <w:rPr>
          <w:rFonts w:eastAsia="微软雅黑"/>
        </w:rPr>
        <w:t xml:space="preserve">is applied to two given </w:t>
      </w:r>
      <w:r>
        <w:rPr>
          <w:rFonts w:hint="eastAsia" w:eastAsia="微软雅黑"/>
        </w:rPr>
        <w:t>TRP</w:t>
      </w:r>
      <w:r>
        <w:rPr>
          <w:rFonts w:eastAsia="微软雅黑"/>
        </w:rPr>
        <w:t>s</w:t>
      </w:r>
      <w:r>
        <w:rPr>
          <w:rFonts w:hint="eastAsia" w:eastAsia="微软雅黑"/>
        </w:rPr>
        <w:t xml:space="preserve">, </w:t>
      </w:r>
      <w:r>
        <w:rPr>
          <w:rFonts w:eastAsia="微软雅黑"/>
        </w:rPr>
        <w:t xml:space="preserve">and then </w:t>
      </w:r>
      <w:r>
        <w:rPr>
          <w:rFonts w:hint="eastAsia" w:eastAsia="微软雅黑"/>
        </w:rPr>
        <w:t xml:space="preserve">target channel/signal related to </w:t>
      </w:r>
      <w:r>
        <w:rPr>
          <w:rFonts w:eastAsia="微软雅黑"/>
        </w:rPr>
        <w:t>a single</w:t>
      </w:r>
      <w:r>
        <w:rPr>
          <w:rFonts w:hint="eastAsia" w:eastAsia="微软雅黑"/>
        </w:rPr>
        <w:t xml:space="preserve"> TCI state</w:t>
      </w:r>
      <w:r>
        <w:rPr>
          <w:rFonts w:eastAsia="微软雅黑"/>
        </w:rPr>
        <w:t xml:space="preserve"> transmission</w:t>
      </w:r>
      <w:r>
        <w:rPr>
          <w:rFonts w:hint="eastAsia" w:eastAsia="微软雅黑"/>
        </w:rPr>
        <w:t xml:space="preserve"> correspond</w:t>
      </w:r>
      <w:r>
        <w:rPr>
          <w:rFonts w:eastAsia="微软雅黑"/>
        </w:rPr>
        <w:t>s</w:t>
      </w:r>
      <w:r>
        <w:rPr>
          <w:rFonts w:hint="eastAsia" w:eastAsia="微软雅黑"/>
        </w:rPr>
        <w:t xml:space="preserve"> to </w:t>
      </w:r>
      <w:r>
        <w:rPr>
          <w:rFonts w:eastAsia="微软雅黑"/>
        </w:rPr>
        <w:t>one of the two given TRPs.</w:t>
      </w:r>
    </w:p>
    <w:p>
      <w:pPr>
        <w:numPr>
          <w:ilvl w:val="0"/>
          <w:numId w:val="9"/>
        </w:numPr>
        <w:spacing w:after="120"/>
        <w:rPr>
          <w:rFonts w:eastAsia="微软雅黑"/>
        </w:rPr>
      </w:pPr>
      <w:r>
        <w:rPr>
          <w:rFonts w:hint="eastAsia" w:eastAsia="微软雅黑"/>
        </w:rPr>
        <w:t xml:space="preserve">Case 3: </w:t>
      </w:r>
      <w:r>
        <w:rPr>
          <w:rFonts w:eastAsia="微软雅黑"/>
        </w:rPr>
        <w:t>Unified</w:t>
      </w:r>
      <w:r>
        <w:rPr>
          <w:rFonts w:hint="eastAsia" w:eastAsia="微软雅黑"/>
        </w:rPr>
        <w:t xml:space="preserve"> TCI </w:t>
      </w:r>
      <w:r>
        <w:rPr>
          <w:rFonts w:eastAsia="微软雅黑"/>
        </w:rPr>
        <w:t xml:space="preserve">codepoint with a single </w:t>
      </w:r>
      <w:r>
        <w:rPr>
          <w:rFonts w:hint="eastAsia" w:eastAsia="微软雅黑"/>
        </w:rPr>
        <w:t xml:space="preserve">TCI state </w:t>
      </w:r>
      <w:r>
        <w:rPr>
          <w:rFonts w:eastAsia="微软雅黑"/>
        </w:rPr>
        <w:t xml:space="preserve">is applied to one given </w:t>
      </w:r>
      <w:r>
        <w:rPr>
          <w:rFonts w:hint="eastAsia" w:eastAsia="微软雅黑"/>
        </w:rPr>
        <w:t xml:space="preserve">TRP, </w:t>
      </w:r>
      <w:r>
        <w:rPr>
          <w:rFonts w:eastAsia="微软雅黑"/>
        </w:rPr>
        <w:t xml:space="preserve">and then </w:t>
      </w:r>
      <w:r>
        <w:rPr>
          <w:rFonts w:hint="eastAsia" w:eastAsia="微软雅黑"/>
        </w:rPr>
        <w:t>target channel/signal related to two</w:t>
      </w:r>
      <w:r>
        <w:rPr>
          <w:rFonts w:eastAsia="微软雅黑"/>
        </w:rPr>
        <w:t>-</w:t>
      </w:r>
      <w:r>
        <w:rPr>
          <w:rFonts w:hint="eastAsia" w:eastAsia="微软雅黑"/>
        </w:rPr>
        <w:t>TCI</w:t>
      </w:r>
      <w:r>
        <w:rPr>
          <w:rFonts w:eastAsia="微软雅黑"/>
        </w:rPr>
        <w:t>-</w:t>
      </w:r>
      <w:r>
        <w:rPr>
          <w:rFonts w:hint="eastAsia" w:eastAsia="微软雅黑"/>
        </w:rPr>
        <w:t>state</w:t>
      </w:r>
      <w:r>
        <w:rPr>
          <w:rFonts w:eastAsia="微软雅黑"/>
        </w:rPr>
        <w:t xml:space="preserve"> transmission</w:t>
      </w:r>
      <w:r>
        <w:rPr>
          <w:rFonts w:hint="eastAsia" w:eastAsia="微软雅黑"/>
        </w:rPr>
        <w:t xml:space="preserve"> correspond</w:t>
      </w:r>
      <w:r>
        <w:rPr>
          <w:rFonts w:eastAsia="微软雅黑"/>
        </w:rPr>
        <w:t xml:space="preserve">s </w:t>
      </w:r>
      <w:r>
        <w:rPr>
          <w:rFonts w:hint="eastAsia" w:eastAsia="微软雅黑"/>
        </w:rPr>
        <w:t xml:space="preserve">to </w:t>
      </w:r>
      <w:r>
        <w:rPr>
          <w:rFonts w:eastAsia="微软雅黑"/>
        </w:rPr>
        <w:t>two TRPs that include the given TRP.</w:t>
      </w:r>
    </w:p>
    <w:p>
      <w:pPr>
        <w:numPr>
          <w:ilvl w:val="0"/>
          <w:numId w:val="9"/>
        </w:numPr>
        <w:spacing w:after="120"/>
        <w:rPr>
          <w:rFonts w:eastAsia="微软雅黑"/>
        </w:rPr>
      </w:pPr>
      <w:r>
        <w:rPr>
          <w:rFonts w:hint="eastAsia" w:eastAsia="微软雅黑"/>
        </w:rPr>
        <w:t xml:space="preserve">Case 4: </w:t>
      </w:r>
      <w:r>
        <w:rPr>
          <w:rFonts w:eastAsia="微软雅黑"/>
        </w:rPr>
        <w:t>Unified</w:t>
      </w:r>
      <w:r>
        <w:rPr>
          <w:rFonts w:hint="eastAsia" w:eastAsia="微软雅黑"/>
        </w:rPr>
        <w:t xml:space="preserve"> TCI </w:t>
      </w:r>
      <w:r>
        <w:rPr>
          <w:rFonts w:eastAsia="微软雅黑"/>
        </w:rPr>
        <w:t>codepoint with</w:t>
      </w:r>
      <w:r>
        <w:rPr>
          <w:rFonts w:hint="eastAsia" w:eastAsia="微软雅黑"/>
        </w:rPr>
        <w:t xml:space="preserve"> two TCI states </w:t>
      </w:r>
      <w:r>
        <w:rPr>
          <w:rFonts w:eastAsia="微软雅黑"/>
        </w:rPr>
        <w:t xml:space="preserve">is applied to two given TRPs, and then </w:t>
      </w:r>
      <w:r>
        <w:rPr>
          <w:rFonts w:hint="eastAsia" w:eastAsia="微软雅黑"/>
        </w:rPr>
        <w:t>target channel/signal related to two</w:t>
      </w:r>
      <w:r>
        <w:rPr>
          <w:rFonts w:eastAsia="微软雅黑"/>
        </w:rPr>
        <w:t>-</w:t>
      </w:r>
      <w:r>
        <w:rPr>
          <w:rFonts w:hint="eastAsia" w:eastAsia="微软雅黑"/>
        </w:rPr>
        <w:t>TCI</w:t>
      </w:r>
      <w:r>
        <w:rPr>
          <w:rFonts w:eastAsia="微软雅黑"/>
        </w:rPr>
        <w:t>-</w:t>
      </w:r>
      <w:r>
        <w:rPr>
          <w:rFonts w:hint="eastAsia" w:eastAsia="微软雅黑"/>
        </w:rPr>
        <w:t xml:space="preserve">state </w:t>
      </w:r>
      <w:r>
        <w:rPr>
          <w:rFonts w:eastAsia="微软雅黑"/>
        </w:rPr>
        <w:t xml:space="preserve">transmission </w:t>
      </w:r>
      <w:r>
        <w:rPr>
          <w:rFonts w:hint="eastAsia" w:eastAsia="微软雅黑"/>
        </w:rPr>
        <w:t>correspond</w:t>
      </w:r>
      <w:r>
        <w:rPr>
          <w:rFonts w:eastAsia="微软雅黑"/>
        </w:rPr>
        <w:t>s</w:t>
      </w:r>
      <w:r>
        <w:rPr>
          <w:rFonts w:hint="eastAsia" w:eastAsia="微软雅黑"/>
        </w:rPr>
        <w:t xml:space="preserve"> </w:t>
      </w:r>
      <w:r>
        <w:rPr>
          <w:rFonts w:eastAsia="微软雅黑"/>
        </w:rPr>
        <w:t>to those two TRPs.</w:t>
      </w:r>
    </w:p>
    <w:p>
      <w:pPr>
        <w:spacing w:after="120"/>
      </w:pPr>
      <w:r>
        <w:rPr>
          <w:rFonts w:eastAsia="微软雅黑"/>
        </w:rPr>
        <w:t xml:space="preserve">Straightforwardly, in </w:t>
      </w:r>
      <w:r>
        <w:rPr>
          <w:rFonts w:hint="eastAsia"/>
        </w:rPr>
        <w:t>mTRP scenario, a TCI state can be explicitly or implicitly associated with a TRP ID information, and the resource (set) of DL or UL control channels or reference signals can also be explicitly or implicitly associated with a TRP ID information,</w:t>
      </w:r>
      <w:r>
        <w:t xml:space="preserve"> and</w:t>
      </w:r>
      <w:r>
        <w:rPr>
          <w:rFonts w:hint="eastAsia"/>
        </w:rPr>
        <w:t xml:space="preserve"> then multiple (i.e. M/N) TCI states can be applied to the target DL or UL channels or signals according to the associated TRP ID information. </w:t>
      </w:r>
    </w:p>
    <w:p>
      <w:pPr>
        <w:spacing w:after="120"/>
        <w:rPr>
          <w:rFonts w:eastAsia="微软雅黑"/>
          <w:i/>
          <w:iCs/>
        </w:rPr>
      </w:pPr>
      <w:r>
        <w:rPr>
          <w:rFonts w:hint="eastAsia" w:eastAsia="微软雅黑"/>
          <w:b/>
          <w:bCs/>
          <w:i/>
          <w:iCs/>
        </w:rPr>
        <w:t>Proposal 1:</w:t>
      </w:r>
      <w:r>
        <w:rPr>
          <w:rFonts w:hint="eastAsia" w:eastAsia="微软雅黑"/>
          <w:i/>
          <w:iCs/>
        </w:rPr>
        <w:t xml:space="preserve"> Regarding the unified TCI state/</w:t>
      </w:r>
      <w:r>
        <w:rPr>
          <w:rFonts w:eastAsia="微软雅黑"/>
          <w:i/>
          <w:iCs/>
        </w:rPr>
        <w:t>codepoint</w:t>
      </w:r>
      <w:r>
        <w:rPr>
          <w:rFonts w:hint="eastAsia" w:eastAsia="微软雅黑"/>
          <w:i/>
          <w:iCs/>
        </w:rPr>
        <w:t xml:space="preserve"> applied to the target channel/signal,</w:t>
      </w:r>
    </w:p>
    <w:p>
      <w:pPr>
        <w:numPr>
          <w:ilvl w:val="0"/>
          <w:numId w:val="10"/>
        </w:numPr>
        <w:overflowPunct w:val="0"/>
        <w:autoSpaceDE w:val="0"/>
        <w:autoSpaceDN w:val="0"/>
        <w:adjustRightInd w:val="0"/>
        <w:spacing w:before="120" w:beforeLines="50" w:after="120" w:afterLines="0" w:line="300" w:lineRule="auto"/>
        <w:textAlignment w:val="baseline"/>
        <w:rPr>
          <w:i/>
        </w:rPr>
      </w:pPr>
      <w:r>
        <w:rPr>
          <w:rFonts w:hint="eastAsia"/>
          <w:i/>
        </w:rPr>
        <w:t>TRP</w:t>
      </w:r>
      <w:r>
        <w:rPr>
          <w:i/>
        </w:rPr>
        <w:t xml:space="preserve"> ID</w:t>
      </w:r>
      <w:r>
        <w:rPr>
          <w:rFonts w:hint="eastAsia"/>
          <w:i/>
        </w:rPr>
        <w:t xml:space="preserve"> information should be tied to </w:t>
      </w:r>
      <w:r>
        <w:rPr>
          <w:i/>
        </w:rPr>
        <w:t>a</w:t>
      </w:r>
      <w:r>
        <w:rPr>
          <w:rFonts w:hint="eastAsia"/>
          <w:i/>
        </w:rPr>
        <w:t xml:space="preserve"> unified TCI state</w:t>
      </w:r>
      <w:r>
        <w:rPr>
          <w:i/>
        </w:rPr>
        <w:t xml:space="preserve"> as well as a target channel/signal</w:t>
      </w:r>
      <w:r>
        <w:rPr>
          <w:rFonts w:hint="eastAsia"/>
          <w:i/>
        </w:rPr>
        <w:t>;</w:t>
      </w:r>
    </w:p>
    <w:p>
      <w:pPr>
        <w:numPr>
          <w:ilvl w:val="0"/>
          <w:numId w:val="10"/>
        </w:numPr>
        <w:overflowPunct w:val="0"/>
        <w:autoSpaceDE w:val="0"/>
        <w:autoSpaceDN w:val="0"/>
        <w:adjustRightInd w:val="0"/>
        <w:spacing w:before="120" w:beforeLines="50" w:after="120" w:afterLines="0" w:line="300" w:lineRule="auto"/>
        <w:textAlignment w:val="baseline"/>
        <w:rPr>
          <w:i/>
        </w:rPr>
      </w:pPr>
      <w:r>
        <w:rPr>
          <w:i/>
        </w:rPr>
        <w:t xml:space="preserve">When indicated, the unified </w:t>
      </w:r>
      <w:r>
        <w:rPr>
          <w:rFonts w:hint="eastAsia"/>
          <w:i/>
        </w:rPr>
        <w:t xml:space="preserve">TCI state can be </w:t>
      </w:r>
      <w:r>
        <w:rPr>
          <w:i/>
        </w:rPr>
        <w:t xml:space="preserve">applied to </w:t>
      </w:r>
      <w:r>
        <w:rPr>
          <w:rFonts w:hint="eastAsia"/>
          <w:i/>
        </w:rPr>
        <w:t>the target channel/signal</w:t>
      </w:r>
      <w:r>
        <w:rPr>
          <w:i/>
        </w:rPr>
        <w:t xml:space="preserve"> that shares the same TRP ID information as the unified TCI state</w:t>
      </w:r>
      <w:r>
        <w:rPr>
          <w:rFonts w:hint="eastAsia"/>
          <w:i/>
        </w:rPr>
        <w:t>.</w:t>
      </w:r>
    </w:p>
    <w:p>
      <w:pPr>
        <w:spacing w:after="120"/>
        <w:rPr>
          <w:rFonts w:eastAsia="微软雅黑"/>
        </w:rPr>
      </w:pPr>
      <w:r>
        <w:rPr>
          <w:rFonts w:eastAsia="微软雅黑"/>
        </w:rPr>
        <w:t>For the sake of presentation, we elaborate the detailed solution for each type of channels/signals as follows.</w:t>
      </w:r>
    </w:p>
    <w:p>
      <w:pPr>
        <w:pStyle w:val="129"/>
        <w:numPr>
          <w:ilvl w:val="0"/>
          <w:numId w:val="10"/>
        </w:numPr>
        <w:spacing w:after="120"/>
      </w:pPr>
      <w:r>
        <w:rPr>
          <w:rFonts w:eastAsia="微软雅黑"/>
        </w:rPr>
        <w:t>For UL channels/signals,</w:t>
      </w:r>
    </w:p>
    <w:p>
      <w:pPr>
        <w:numPr>
          <w:ilvl w:val="0"/>
          <w:numId w:val="11"/>
        </w:numPr>
        <w:spacing w:after="120"/>
        <w:ind w:left="780"/>
      </w:pPr>
      <w:r>
        <w:rPr>
          <w:rFonts w:hint="eastAsia"/>
        </w:rPr>
        <w:t>Regarding SRS, up to N SRS resource sets for codebook or non-codebook can be supported/configured. Each SRS resource set is associated with a TRP ID info</w:t>
      </w:r>
      <w:r>
        <w:t>rmation</w:t>
      </w:r>
      <w:r>
        <w:rPr>
          <w:rFonts w:hint="eastAsia"/>
        </w:rPr>
        <w:t>. An indicated TCI state which is associated with a TRP ID among N TCI states is applied to all the SRS resources in the SRS resource set which is associated with the same TRP ID.</w:t>
      </w:r>
    </w:p>
    <w:p>
      <w:pPr>
        <w:numPr>
          <w:ilvl w:val="0"/>
          <w:numId w:val="11"/>
        </w:numPr>
        <w:spacing w:after="120"/>
        <w:ind w:left="780"/>
      </w:pPr>
      <w:r>
        <w:rPr>
          <w:rFonts w:hint="eastAsia"/>
        </w:rPr>
        <w:t xml:space="preserve">Regarding PUSCH, a DCI scheduling a PUSCH transmission indicates one or two SRIs and their SRS resource set IDs, </w:t>
      </w:r>
      <w:r>
        <w:t xml:space="preserve">and </w:t>
      </w:r>
      <w:r>
        <w:rPr>
          <w:rFonts w:hint="eastAsia"/>
        </w:rPr>
        <w:t xml:space="preserve">the </w:t>
      </w:r>
      <w:r>
        <w:t xml:space="preserve">corresponding </w:t>
      </w:r>
      <w:r>
        <w:rPr>
          <w:rFonts w:hint="eastAsia"/>
        </w:rPr>
        <w:t xml:space="preserve">details </w:t>
      </w:r>
      <w:r>
        <w:t>can be found in our companion contribution [</w:t>
      </w:r>
      <w:r>
        <w:rPr>
          <w:rFonts w:hint="eastAsia"/>
        </w:rPr>
        <w:t>1</w:t>
      </w:r>
      <w:r>
        <w:t>]</w:t>
      </w:r>
      <w:r>
        <w:rPr>
          <w:rFonts w:hint="eastAsia"/>
        </w:rPr>
        <w:t xml:space="preserve">. </w:t>
      </w:r>
      <w:r>
        <w:t xml:space="preserve">In our views, this approach can also be </w:t>
      </w:r>
      <w:r>
        <w:rPr>
          <w:rFonts w:hint="eastAsia"/>
        </w:rPr>
        <w:t xml:space="preserve">used for PUSCH transmission in the case of unified TCI. Alternatively, </w:t>
      </w:r>
      <w:r>
        <w:t xml:space="preserve">especially </w:t>
      </w:r>
      <w:r>
        <w:rPr>
          <w:rFonts w:hint="eastAsia"/>
        </w:rPr>
        <w:t xml:space="preserve">for </w:t>
      </w:r>
      <w:r>
        <w:t>mDCI-m</w:t>
      </w:r>
      <w:r>
        <w:rPr>
          <w:rFonts w:hint="eastAsia"/>
        </w:rPr>
        <w:t xml:space="preserve">TRP case, unified TCI can be used to select SRS resource set, </w:t>
      </w:r>
      <w:r>
        <w:t xml:space="preserve">and only </w:t>
      </w:r>
      <w:r>
        <w:rPr>
          <w:rFonts w:hint="eastAsia"/>
        </w:rPr>
        <w:t xml:space="preserve">SRI </w:t>
      </w:r>
      <w:r>
        <w:t xml:space="preserve">field in the scheduling DCI </w:t>
      </w:r>
      <w:r>
        <w:rPr>
          <w:rFonts w:hint="eastAsia"/>
        </w:rPr>
        <w:t xml:space="preserve">is interpreted based on the selected set. </w:t>
      </w:r>
    </w:p>
    <w:p>
      <w:pPr>
        <w:numPr>
          <w:ilvl w:val="0"/>
          <w:numId w:val="11"/>
        </w:numPr>
        <w:spacing w:after="120"/>
        <w:ind w:left="780"/>
      </w:pPr>
      <w:r>
        <w:rPr>
          <w:rFonts w:hint="eastAsia"/>
        </w:rPr>
        <w:t xml:space="preserve">Regarding PUCCH, each PUCCH resource (group) can be associated with a TRP ID information. An indicated TCI state which is associated with a TRP ID among N TCI states is applied to </w:t>
      </w:r>
      <w:r>
        <w:t xml:space="preserve">all </w:t>
      </w:r>
      <w:r>
        <w:rPr>
          <w:rFonts w:hint="eastAsia"/>
        </w:rPr>
        <w:t xml:space="preserve">PUCCH resources which are associated with the same TRP ID. Alternatively, </w:t>
      </w:r>
      <w:r>
        <w:t xml:space="preserve">especially for sDCI-mTRP case, </w:t>
      </w:r>
      <w:r>
        <w:rPr>
          <w:rFonts w:hint="eastAsia"/>
        </w:rPr>
        <w:t>each PUCCH resource can be associated with up to two TRP ID information, such as two PUCCH spatial</w:t>
      </w:r>
      <w:r>
        <w:t xml:space="preserve"> </w:t>
      </w:r>
      <w:r>
        <w:rPr>
          <w:rFonts w:hint="eastAsia"/>
        </w:rPr>
        <w:t>relations corresponding to two TRPs, as which is under discussion in MTRP topic for PUCCH repetitions</w:t>
      </w:r>
      <w:r>
        <w:t xml:space="preserve"> [</w:t>
      </w:r>
      <w:r>
        <w:rPr>
          <w:rFonts w:hint="eastAsia"/>
        </w:rPr>
        <w:t>1</w:t>
      </w:r>
      <w:r>
        <w:t>]</w:t>
      </w:r>
      <w:r>
        <w:rPr>
          <w:rFonts w:hint="eastAsia"/>
        </w:rPr>
        <w:t>.</w:t>
      </w:r>
    </w:p>
    <w:p>
      <w:pPr>
        <w:pStyle w:val="129"/>
        <w:numPr>
          <w:ilvl w:val="0"/>
          <w:numId w:val="10"/>
        </w:numPr>
        <w:spacing w:after="120"/>
      </w:pPr>
      <w:r>
        <w:t xml:space="preserve">For DL </w:t>
      </w:r>
      <w:r>
        <w:rPr>
          <w:rFonts w:eastAsia="微软雅黑"/>
        </w:rPr>
        <w:t>channels/signals</w:t>
      </w:r>
      <w:r>
        <w:t>,</w:t>
      </w:r>
    </w:p>
    <w:p>
      <w:pPr>
        <w:numPr>
          <w:ilvl w:val="0"/>
          <w:numId w:val="11"/>
        </w:numPr>
        <w:spacing w:after="120"/>
        <w:ind w:left="780"/>
      </w:pPr>
      <w:r>
        <w:rPr>
          <w:rFonts w:hint="eastAsia"/>
        </w:rPr>
        <w:t>Regarding PDCCH, a CORSET can be associated with a TRP ID information</w:t>
      </w:r>
      <w:r>
        <w:t xml:space="preserve"> for both mDCI-mTRP and sDCI-mTRP cases</w:t>
      </w:r>
      <w:r>
        <w:rPr>
          <w:rFonts w:hint="eastAsia"/>
        </w:rPr>
        <w:t>, such as CORESET pool ID in Rel-16. An indicated TCI state which is associated with a TRP ID among M TCI states is applied to the CORESET</w:t>
      </w:r>
      <w:r>
        <w:t>(</w:t>
      </w:r>
      <w:r>
        <w:rPr>
          <w:rFonts w:hint="eastAsia"/>
        </w:rPr>
        <w:t>s</w:t>
      </w:r>
      <w:r>
        <w:t>)</w:t>
      </w:r>
      <w:r>
        <w:rPr>
          <w:rFonts w:hint="eastAsia"/>
        </w:rPr>
        <w:t xml:space="preserve"> which are associated with the same TRP ID. </w:t>
      </w:r>
    </w:p>
    <w:p>
      <w:pPr>
        <w:numPr>
          <w:ilvl w:val="0"/>
          <w:numId w:val="11"/>
        </w:numPr>
        <w:spacing w:after="120"/>
        <w:ind w:left="780"/>
      </w:pPr>
      <w:r>
        <w:t xml:space="preserve">Regarding PDSCH, the indicated unified TCI states can be applied to a PDSCH transmission after application time. Note that, if the offset between DL DCI and the PDSCH is less than the threshold </w:t>
      </w:r>
      <w:r>
        <w:rPr>
          <w:i/>
          <w:iCs/>
        </w:rPr>
        <w:t>timeDurationForQCL</w:t>
      </w:r>
      <w:r>
        <w:t xml:space="preserve">, </w:t>
      </w:r>
      <w:r>
        <w:rPr>
          <w:rFonts w:hint="eastAsia"/>
        </w:rPr>
        <w:t xml:space="preserve">the current/latest effective unified TCI state for PDSCH is used for determining the DM-RS ports of the PDSCH, instead of a default beam </w:t>
      </w:r>
      <w:r>
        <w:t>approach specified as in Rel-15/Rel-16.</w:t>
      </w:r>
    </w:p>
    <w:p>
      <w:pPr>
        <w:numPr>
          <w:ilvl w:val="0"/>
          <w:numId w:val="11"/>
        </w:numPr>
        <w:spacing w:after="120"/>
        <w:ind w:left="780"/>
      </w:pPr>
      <w:r>
        <w:rPr>
          <w:rFonts w:hint="eastAsia"/>
        </w:rPr>
        <w:t>Regarding CSI-RS, whether a unified TCI can be applied to CSI-RS is still FFS. if it is supported, CSI-RS resource set can be associated with TRP ID information. An indicated TCI state which is associated with a TRP ID among M TCI states is applied to the CSI-RS resources in the CSI-RS resource sets which are associated with the same TRP ID.</w:t>
      </w:r>
    </w:p>
    <w:p>
      <w:pPr>
        <w:pStyle w:val="3"/>
        <w:spacing w:before="240" w:after="120"/>
        <w:ind w:left="709" w:hanging="709"/>
        <w:rPr>
          <w:lang w:val="en-US"/>
        </w:rPr>
      </w:pPr>
      <w:r>
        <w:rPr>
          <w:rFonts w:hint="eastAsia"/>
          <w:lang w:val="en-US"/>
        </w:rPr>
        <w:t xml:space="preserve">Power control for uplink </w:t>
      </w:r>
      <w:r>
        <w:rPr>
          <w:rFonts w:hint="eastAsia" w:eastAsia="微软雅黑"/>
          <w:szCs w:val="20"/>
          <w:lang w:val="en-US"/>
        </w:rPr>
        <w:t>transmission</w:t>
      </w:r>
    </w:p>
    <w:p>
      <w:pPr>
        <w:spacing w:after="120"/>
      </w:pPr>
      <w:r>
        <w:t>In Rel-17 with unified TCI scheme,</w:t>
      </w:r>
      <w:r>
        <w:rPr>
          <w:rFonts w:hint="eastAsia"/>
          <w:i/>
          <w:iCs/>
        </w:rPr>
        <w:t xml:space="preserve"> </w:t>
      </w:r>
      <w:r>
        <w:rPr>
          <w:rFonts w:hint="eastAsia"/>
        </w:rPr>
        <w:t xml:space="preserve">TRP-specific power control should be supported. TCI state is associated with a TRP ID information as discussed above. So TRP-specific power control is actually TCI state specific power control. As mentioned above, each TRP is related to a SRS resource set, and each SRS resource set corresponds to a TCI state. Then it is reasonable to adopt power control parameters related to the TCI state for SRS, and PUSCH. Besides, a PUCCH resource is associated with one or two PUCCH relationships, each PUCCH relationship is associated with a TCI state and a corresponding TRP, so TCI state related power control parameters can also be used for PUCCH resource. </w:t>
      </w:r>
    </w:p>
    <w:p>
      <w:pPr>
        <w:spacing w:after="120"/>
      </w:pPr>
      <w:r>
        <w:rPr>
          <w:rFonts w:hint="eastAsia"/>
        </w:rPr>
        <w:t xml:space="preserve">As for power control framework, open-loop power control parameters, e.g. P0 and alpha, closed-loop power control parameter, and PL-RS can be associated with UL TCI state or DL and UL TCI state in RRC. PL-RS can be configured by RRC, the number of configured PL-RSs can be up to 64. When the TCI state is activated by a MAC CE, the total number of activated TCI states may be up to 8, then the number of PL-RSs could be at most 8. But a UE can only support at most 4 active PL-RSs, which means at most 4 RSs can be monitored by a UE. To solve this problem, it should be supported to update PL-RS for an </w:t>
      </w:r>
      <w:r>
        <w:t>activated TCI</w:t>
      </w:r>
      <w:r>
        <w:rPr>
          <w:rFonts w:hint="eastAsia"/>
        </w:rPr>
        <w:t xml:space="preserve"> state in MAC CE.</w:t>
      </w:r>
    </w:p>
    <w:p>
      <w:pPr>
        <w:pStyle w:val="119"/>
        <w:tabs>
          <w:tab w:val="left" w:pos="400"/>
        </w:tabs>
        <w:overflowPunct w:val="0"/>
        <w:autoSpaceDE w:val="0"/>
        <w:autoSpaceDN w:val="0"/>
        <w:adjustRightInd w:val="0"/>
        <w:snapToGrid w:val="0"/>
        <w:spacing w:before="60" w:beforeLines="25" w:after="120" w:line="300" w:lineRule="auto"/>
        <w:ind w:firstLine="0" w:firstLineChars="0"/>
        <w:contextualSpacing/>
        <w:textAlignment w:val="baseline"/>
        <w:rPr>
          <w:i/>
          <w:iCs/>
        </w:rPr>
      </w:pPr>
      <w:r>
        <w:rPr>
          <w:rFonts w:hint="eastAsia"/>
          <w:b/>
          <w:bCs/>
          <w:i/>
          <w:iCs/>
        </w:rPr>
        <w:t xml:space="preserve">Proposal </w:t>
      </w:r>
      <w:r>
        <w:rPr>
          <w:b/>
          <w:bCs/>
          <w:i/>
          <w:iCs/>
        </w:rPr>
        <w:t>2</w:t>
      </w:r>
      <w:r>
        <w:rPr>
          <w:rFonts w:hint="eastAsia"/>
          <w:b/>
          <w:bCs/>
          <w:i/>
          <w:iCs/>
        </w:rPr>
        <w:t>:</w:t>
      </w:r>
      <w:r>
        <w:rPr>
          <w:rFonts w:hint="eastAsia"/>
          <w:i/>
          <w:iCs/>
        </w:rPr>
        <w:t xml:space="preserve"> Regarding power control framework for unified TCI</w:t>
      </w:r>
      <w:r>
        <w:rPr>
          <w:i/>
          <w:iCs/>
        </w:rPr>
        <w:t xml:space="preserve"> for mTRP</w:t>
      </w:r>
      <w:r>
        <w:rPr>
          <w:rFonts w:hint="eastAsia"/>
          <w:i/>
          <w:iCs/>
        </w:rPr>
        <w:t>,</w:t>
      </w:r>
    </w:p>
    <w:p>
      <w:pPr>
        <w:numPr>
          <w:ilvl w:val="0"/>
          <w:numId w:val="10"/>
        </w:numPr>
        <w:overflowPunct w:val="0"/>
        <w:autoSpaceDE w:val="0"/>
        <w:autoSpaceDN w:val="0"/>
        <w:adjustRightInd w:val="0"/>
        <w:spacing w:before="120" w:beforeLines="50" w:after="120" w:afterLines="0" w:line="300" w:lineRule="auto"/>
        <w:textAlignment w:val="baseline"/>
        <w:rPr>
          <w:i/>
          <w:iCs/>
          <w:lang w:val="en-GB"/>
        </w:rPr>
      </w:pPr>
      <w:r>
        <w:rPr>
          <w:rFonts w:hint="eastAsia"/>
          <w:i/>
        </w:rPr>
        <w:t>Open-loop power control parameters, e.g. P0 and alpha, closed-loop power control parameter, and PL-RS can be associated with UL TCI state or DL and UL TCI state in RRC.</w:t>
      </w:r>
    </w:p>
    <w:p>
      <w:pPr>
        <w:numPr>
          <w:ilvl w:val="0"/>
          <w:numId w:val="12"/>
        </w:numPr>
        <w:tabs>
          <w:tab w:val="clear" w:pos="420"/>
        </w:tabs>
        <w:overflowPunct w:val="0"/>
        <w:autoSpaceDE w:val="0"/>
        <w:autoSpaceDN w:val="0"/>
        <w:adjustRightInd w:val="0"/>
        <w:spacing w:before="120" w:beforeLines="50" w:after="120" w:afterLines="0" w:line="300" w:lineRule="auto"/>
        <w:textAlignment w:val="baseline"/>
        <w:rPr>
          <w:i/>
          <w:iCs/>
          <w:lang w:val="en-GB"/>
        </w:rPr>
      </w:pPr>
      <w:r>
        <w:rPr>
          <w:i/>
          <w:iCs/>
          <w:lang w:val="en-GB"/>
        </w:rPr>
        <w:t xml:space="preserve">The association between </w:t>
      </w:r>
      <w:r>
        <w:rPr>
          <w:rFonts w:hint="eastAsia"/>
          <w:i/>
        </w:rPr>
        <w:t>TCI state and power control parameters, e.g. PL-RS</w:t>
      </w:r>
      <w:r>
        <w:rPr>
          <w:i/>
        </w:rPr>
        <w:t>,</w:t>
      </w:r>
      <w:r>
        <w:rPr>
          <w:i/>
          <w:iCs/>
          <w:lang w:val="en-GB"/>
        </w:rPr>
        <w:t xml:space="preserve"> </w:t>
      </w:r>
      <w:r>
        <w:rPr>
          <w:rFonts w:hint="eastAsia"/>
          <w:i/>
        </w:rPr>
        <w:t xml:space="preserve">should </w:t>
      </w:r>
      <w:r>
        <w:rPr>
          <w:i/>
          <w:iCs/>
          <w:lang w:val="en-GB"/>
        </w:rPr>
        <w:t>be maintained by MAC CE</w:t>
      </w:r>
      <w:r>
        <w:rPr>
          <w:rFonts w:hint="eastAsia"/>
          <w:i/>
        </w:rPr>
        <w:t>.</w:t>
      </w:r>
    </w:p>
    <w:p>
      <w:pPr>
        <w:numPr>
          <w:ilvl w:val="0"/>
          <w:numId w:val="12"/>
        </w:numPr>
        <w:tabs>
          <w:tab w:val="clear" w:pos="420"/>
        </w:tabs>
        <w:overflowPunct w:val="0"/>
        <w:autoSpaceDE w:val="0"/>
        <w:autoSpaceDN w:val="0"/>
        <w:adjustRightInd w:val="0"/>
        <w:spacing w:before="120" w:beforeLines="50" w:after="120" w:afterLines="0" w:line="300" w:lineRule="auto"/>
        <w:textAlignment w:val="baseline"/>
        <w:rPr>
          <w:rFonts w:eastAsia="微软雅黑"/>
          <w:i/>
          <w:iCs/>
          <w:lang w:val="en-GB"/>
        </w:rPr>
      </w:pPr>
      <w:r>
        <w:rPr>
          <w:rFonts w:eastAsia="微软雅黑"/>
          <w:i/>
          <w:iCs/>
          <w:lang w:val="en-GB"/>
        </w:rPr>
        <w:t>If not associated, PL-RS is the periodic DL-RS used as a source RS for determining spatial TX filter or the PL RS used for the UL RS in UL or (if applicable) joint TCI state.</w:t>
      </w:r>
    </w:p>
    <w:p>
      <w:pPr>
        <w:pStyle w:val="2"/>
        <w:spacing w:before="240" w:after="120"/>
        <w:rPr>
          <w:lang w:val="en-US"/>
        </w:rPr>
      </w:pPr>
      <w:r>
        <w:rPr>
          <w:rFonts w:hint="eastAsia"/>
          <w:lang w:val="en-US"/>
        </w:rPr>
        <w:t xml:space="preserve">Further details on </w:t>
      </w:r>
      <w:r>
        <w:rPr>
          <w:lang w:val="en-US"/>
        </w:rPr>
        <w:t>b</w:t>
      </w:r>
      <w:r>
        <w:rPr>
          <w:rFonts w:hint="eastAsia"/>
          <w:lang w:val="en-US"/>
        </w:rPr>
        <w:t>eam indication/update cross</w:t>
      </w:r>
      <w:r>
        <w:rPr>
          <w:lang w:val="en-US"/>
        </w:rPr>
        <w:t xml:space="preserve"> carriers</w:t>
      </w:r>
    </w:p>
    <w:p>
      <w:pPr>
        <w:spacing w:after="120"/>
      </w:pPr>
      <w:r>
        <w:rPr>
          <w:rFonts w:hint="eastAsia"/>
        </w:rPr>
        <w:t>In RAN1#103</w:t>
      </w:r>
      <w:r>
        <w:t>-</w:t>
      </w:r>
      <w:r>
        <w:rPr>
          <w:rFonts w:hint="eastAsia"/>
        </w:rPr>
        <w:t>e</w:t>
      </w:r>
      <w:r>
        <w:t xml:space="preserve">, a general framework for </w:t>
      </w:r>
      <w:r>
        <w:rPr>
          <w:rFonts w:hint="eastAsia"/>
        </w:rPr>
        <w:t>common DL/UL beam indication cross carriers (CCs) under the unified TCI framework has been agreed</w:t>
      </w:r>
      <w:r>
        <w:t xml:space="preserve"> as follows. In this subsection, we further discuss the details on common beam update cross </w:t>
      </w:r>
      <w:r>
        <w:rPr>
          <w:rFonts w:hint="eastAsia"/>
        </w:rPr>
        <w:t>CCs</w:t>
      </w:r>
      <w:r>
        <w:t>.</w:t>
      </w:r>
    </w:p>
    <w:tbl>
      <w:tblPr>
        <w:tblStyle w:val="26"/>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120"/>
              <w:rPr>
                <w:rFonts w:cs="Times" w:eastAsiaTheme="minorEastAsia"/>
                <w:b/>
                <w:bCs/>
                <w:u w:val="single"/>
              </w:rPr>
            </w:pPr>
            <w:r>
              <w:rPr>
                <w:rFonts w:hint="eastAsia" w:cs="Times"/>
                <w:b/>
                <w:bCs/>
                <w:u w:val="single"/>
              </w:rPr>
              <w:t>Agreement</w:t>
            </w:r>
          </w:p>
          <w:p>
            <w:pPr>
              <w:snapToGrid w:val="0"/>
              <w:spacing w:after="0" w:afterLines="0"/>
              <w:rPr>
                <w:rFonts w:ascii="Times" w:hAnsi="Times" w:eastAsia="Batang" w:cs="Times"/>
                <w:szCs w:val="24"/>
                <w:lang w:val="en-GB" w:eastAsia="en-US"/>
              </w:rPr>
            </w:pPr>
            <w:r>
              <w:rPr>
                <w:rFonts w:ascii="Times" w:hAnsi="Times" w:eastAsia="Batang" w:cs="Times"/>
                <w:lang w:val="en-GB" w:eastAsia="en-US"/>
              </w:rPr>
              <w:t>On Rel-17 unified TCI framework, support common TCI state ID update and activation to provide common QCL information and/or common UL TX spatial filter(s) across a set of configured CCs:</w:t>
            </w:r>
          </w:p>
          <w:p>
            <w:pPr>
              <w:numPr>
                <w:ilvl w:val="0"/>
                <w:numId w:val="13"/>
              </w:numPr>
              <w:snapToGrid w:val="0"/>
              <w:spacing w:after="0" w:afterLines="0"/>
              <w:ind w:left="714" w:hanging="357"/>
              <w:rPr>
                <w:rFonts w:ascii="Times" w:hAnsi="Times" w:eastAsia="Batang" w:cs="Times"/>
                <w:szCs w:val="24"/>
                <w:lang w:val="en-GB" w:eastAsia="en-US"/>
              </w:rPr>
            </w:pPr>
            <w:r>
              <w:rPr>
                <w:rFonts w:ascii="Times" w:hAnsi="Times" w:eastAsia="Batang" w:cs="Times"/>
                <w:szCs w:val="24"/>
                <w:lang w:val="en-GB" w:eastAsia="en-US"/>
              </w:rPr>
              <w:t>The above applies to intra-band CA</w:t>
            </w:r>
          </w:p>
          <w:p>
            <w:pPr>
              <w:numPr>
                <w:ilvl w:val="0"/>
                <w:numId w:val="13"/>
              </w:numPr>
              <w:snapToGrid w:val="0"/>
              <w:spacing w:after="0" w:afterLines="0"/>
              <w:ind w:left="714" w:hanging="357"/>
              <w:rPr>
                <w:rFonts w:ascii="Times" w:hAnsi="Times" w:eastAsia="Batang" w:cs="Times"/>
                <w:szCs w:val="24"/>
                <w:lang w:val="en-GB" w:eastAsia="en-US"/>
              </w:rPr>
            </w:pPr>
            <w:r>
              <w:rPr>
                <w:rFonts w:ascii="Times" w:hAnsi="Times" w:eastAsia="Batang" w:cs="Times"/>
                <w:szCs w:val="24"/>
                <w:lang w:val="en-GB" w:eastAsia="en-US"/>
              </w:rPr>
              <w:t xml:space="preserve">The above applies to joint DL/UL and separate DL/UL beam indications </w:t>
            </w:r>
          </w:p>
          <w:p>
            <w:pPr>
              <w:numPr>
                <w:ilvl w:val="0"/>
                <w:numId w:val="13"/>
              </w:numPr>
              <w:snapToGrid w:val="0"/>
              <w:spacing w:after="0" w:afterLines="0"/>
              <w:ind w:left="714" w:hanging="357"/>
              <w:rPr>
                <w:rFonts w:ascii="Times" w:hAnsi="Times" w:eastAsia="Batang" w:cs="Times"/>
                <w:szCs w:val="24"/>
                <w:lang w:val="en-GB" w:eastAsia="en-US"/>
              </w:rPr>
            </w:pPr>
            <w:r>
              <w:rPr>
                <w:rFonts w:ascii="Times" w:hAnsi="Times" w:eastAsia="Batang" w:cs="Times"/>
                <w:szCs w:val="24"/>
                <w:lang w:val="en-GB" w:eastAsia="en-US"/>
              </w:rPr>
              <w:t>Just as Rel.16, the RS in the TCI state that provides QCL-TypeA [or QCL-TypeB] shall be in the same CC as the target channel or RS</w:t>
            </w:r>
          </w:p>
          <w:p>
            <w:pPr>
              <w:numPr>
                <w:ilvl w:val="0"/>
                <w:numId w:val="13"/>
              </w:numPr>
              <w:snapToGrid w:val="0"/>
              <w:spacing w:after="0" w:afterLines="0"/>
              <w:ind w:left="714" w:hanging="357"/>
              <w:rPr>
                <w:rFonts w:ascii="Times" w:hAnsi="Times" w:eastAsia="Batang" w:cs="Times"/>
                <w:szCs w:val="24"/>
                <w:lang w:val="en-GB" w:eastAsia="en-US"/>
              </w:rPr>
            </w:pPr>
            <w:r>
              <w:rPr>
                <w:rFonts w:ascii="Times" w:hAnsi="Times" w:eastAsia="Batang" w:cs="Times"/>
                <w:szCs w:val="24"/>
                <w:lang w:val="en-GB" w:eastAsia="en-US"/>
              </w:rPr>
              <w:t>The common TCI state ID implies that the same/single RS determined according to the TCI state(s) indicated by a common TCI state ID is used to provide QCL Type-D indication and to determine UL TX spatial filter across the set of configured CCs</w:t>
            </w:r>
          </w:p>
          <w:p>
            <w:pPr>
              <w:numPr>
                <w:ilvl w:val="0"/>
                <w:numId w:val="13"/>
              </w:numPr>
              <w:snapToGrid w:val="0"/>
              <w:spacing w:after="0" w:afterLines="0"/>
              <w:ind w:left="714" w:hanging="357"/>
              <w:rPr>
                <w:rFonts w:ascii="Times" w:hAnsi="Times" w:eastAsia="Batang" w:cs="Times"/>
                <w:szCs w:val="24"/>
                <w:lang w:val="en-GB" w:eastAsia="en-US"/>
              </w:rPr>
            </w:pPr>
            <w:r>
              <w:rPr>
                <w:rFonts w:ascii="Times" w:hAnsi="Times" w:eastAsia="Batang" w:cs="Times"/>
                <w:szCs w:val="24"/>
                <w:lang w:val="en-GB" w:eastAsia="en-US"/>
              </w:rPr>
              <w:t xml:space="preserve">FFS: The above also applies to inter-band CA </w:t>
            </w:r>
          </w:p>
          <w:p>
            <w:pPr>
              <w:numPr>
                <w:ilvl w:val="0"/>
                <w:numId w:val="13"/>
              </w:numPr>
              <w:snapToGrid w:val="0"/>
              <w:spacing w:after="120"/>
              <w:rPr>
                <w:rFonts w:ascii="Times" w:hAnsi="Times" w:eastAsia="Batang" w:cs="Times"/>
                <w:szCs w:val="24"/>
                <w:lang w:val="en-GB" w:eastAsia="en-US"/>
              </w:rPr>
            </w:pPr>
            <w:r>
              <w:rPr>
                <w:rFonts w:ascii="Times" w:hAnsi="Times" w:eastAsia="Batang" w:cs="Times"/>
                <w:szCs w:val="24"/>
                <w:lang w:val="en-GB" w:eastAsia="en-US"/>
              </w:rPr>
              <w:t xml:space="preserve">FFS: TCI state pool for CA </w:t>
            </w:r>
          </w:p>
          <w:p>
            <w:pPr>
              <w:numPr>
                <w:ilvl w:val="1"/>
                <w:numId w:val="14"/>
              </w:numPr>
              <w:snapToGrid w:val="0"/>
              <w:spacing w:after="120"/>
              <w:contextualSpacing/>
              <w:rPr>
                <w:rFonts w:ascii="Times" w:hAnsi="Times" w:eastAsia="Batang" w:cs="Times"/>
                <w:szCs w:val="24"/>
                <w:lang w:val="en-GB" w:eastAsia="en-US"/>
              </w:rPr>
            </w:pPr>
            <w:r>
              <w:rPr>
                <w:rFonts w:ascii="Times" w:hAnsi="Times" w:eastAsia="Batang" w:cs="Times"/>
                <w:szCs w:val="24"/>
                <w:lang w:val="en-GB"/>
              </w:rPr>
              <w:t xml:space="preserve">Opt-1: sharing a single RRC TCI state pool for the set of configured CCs, e.g., cell-group TCI state pool, or reuse TCI state pool for PDSCH in a reference cell; </w:t>
            </w:r>
            <w:r>
              <w:rPr>
                <w:rFonts w:ascii="Times" w:hAnsi="Times" w:eastAsia="Batang" w:cs="Times"/>
                <w:szCs w:val="24"/>
                <w:shd w:val="clear" w:color="auto" w:fill="FFFFFF"/>
                <w:lang w:val="en-GB" w:eastAsia="en-US"/>
              </w:rPr>
              <w:t>A CC ID for QCL-Type A RS is absent in a TCI state, and the CC ID for QCL-Type A RS is determined according to a target CC of the TCI state.</w:t>
            </w:r>
          </w:p>
          <w:p>
            <w:pPr>
              <w:numPr>
                <w:ilvl w:val="2"/>
                <w:numId w:val="14"/>
              </w:numPr>
              <w:snapToGrid w:val="0"/>
              <w:spacing w:after="120"/>
              <w:contextualSpacing/>
              <w:rPr>
                <w:rFonts w:ascii="Times" w:hAnsi="Times" w:eastAsia="Batang" w:cs="Times"/>
                <w:szCs w:val="24"/>
                <w:lang w:val="en-GB" w:eastAsia="en-US"/>
              </w:rPr>
            </w:pPr>
            <w:r>
              <w:rPr>
                <w:rFonts w:ascii="Times" w:hAnsi="Times" w:eastAsia="Batang" w:cs="Times"/>
                <w:szCs w:val="24"/>
                <w:lang w:val="en-GB" w:eastAsia="en-US"/>
              </w:rPr>
              <w:t>FFS: Whether it is possible that a single TCI state in the pool includes all source RSs from different CCs</w:t>
            </w:r>
          </w:p>
          <w:p>
            <w:pPr>
              <w:numPr>
                <w:ilvl w:val="1"/>
                <w:numId w:val="14"/>
              </w:numPr>
              <w:snapToGrid w:val="0"/>
              <w:spacing w:after="120"/>
              <w:contextualSpacing/>
              <w:rPr>
                <w:rFonts w:ascii="Times" w:hAnsi="Times" w:eastAsia="Batang" w:cs="Times"/>
                <w:szCs w:val="24"/>
                <w:lang w:val="en-GB" w:eastAsia="en-US"/>
              </w:rPr>
            </w:pPr>
            <w:r>
              <w:rPr>
                <w:rFonts w:ascii="Times" w:hAnsi="Times" w:eastAsia="Batang" w:cs="Times"/>
                <w:szCs w:val="24"/>
                <w:lang w:val="en-GB"/>
              </w:rPr>
              <w:t>Opt-2: configuring RRC TCI state pool per individual CC</w:t>
            </w:r>
          </w:p>
          <w:p>
            <w:pPr>
              <w:numPr>
                <w:ilvl w:val="0"/>
                <w:numId w:val="13"/>
              </w:numPr>
              <w:snapToGrid w:val="0"/>
              <w:spacing w:after="0" w:afterLines="0" w:line="276" w:lineRule="auto"/>
              <w:rPr>
                <w:rFonts w:eastAsia="微软雅黑"/>
              </w:rPr>
            </w:pPr>
            <w:r>
              <w:rPr>
                <w:rFonts w:ascii="Times" w:hAnsi="Times" w:eastAsia="Batang" w:cs="Times"/>
                <w:szCs w:val="24"/>
                <w:lang w:val="en-GB" w:eastAsia="en-US"/>
              </w:rPr>
              <w:t>FFS: Whether the Rel-17 common beam update across multiple CCs applies to beam indication for single channel (e.g. PDSCH only, single CORESET), a subset of channels, or all channels</w:t>
            </w:r>
          </w:p>
        </w:tc>
      </w:tr>
    </w:tbl>
    <w:p>
      <w:pPr>
        <w:overflowPunct w:val="0"/>
        <w:autoSpaceDE w:val="0"/>
        <w:autoSpaceDN w:val="0"/>
        <w:adjustRightInd w:val="0"/>
        <w:snapToGrid w:val="0"/>
        <w:spacing w:before="60" w:beforeLines="25" w:after="120" w:line="300" w:lineRule="auto"/>
        <w:textAlignment w:val="baseline"/>
      </w:pPr>
      <w:r>
        <w:rPr>
          <w:rFonts w:eastAsia="微软雅黑"/>
        </w:rPr>
        <w:t xml:space="preserve">As a remaining issue, the TCI state pool for CA is still FFS, and </w:t>
      </w:r>
      <w:r>
        <w:t>the following two candidate solutions for TCI state pool for CA has been identified:</w:t>
      </w:r>
    </w:p>
    <w:p>
      <w:pPr>
        <w:pStyle w:val="124"/>
        <w:numPr>
          <w:ilvl w:val="0"/>
          <w:numId w:val="15"/>
        </w:numPr>
        <w:overflowPunct w:val="0"/>
        <w:autoSpaceDE w:val="0"/>
        <w:autoSpaceDN w:val="0"/>
        <w:adjustRightInd w:val="0"/>
        <w:snapToGrid w:val="0"/>
        <w:spacing w:before="60" w:beforeLines="25" w:after="120" w:line="300" w:lineRule="auto"/>
        <w:ind w:firstLineChars="0"/>
        <w:textAlignment w:val="baseline"/>
      </w:pPr>
      <w:r>
        <w:rPr>
          <w:rFonts w:ascii="Times" w:hAnsi="Times" w:eastAsia="Batang" w:cs="Times"/>
          <w:szCs w:val="24"/>
          <w:lang w:val="en-GB"/>
        </w:rPr>
        <w:t xml:space="preserve">Opt-1: sharing a single RRC TCI state pool for the set of configured CCs; </w:t>
      </w:r>
    </w:p>
    <w:p>
      <w:pPr>
        <w:pStyle w:val="124"/>
        <w:numPr>
          <w:ilvl w:val="0"/>
          <w:numId w:val="15"/>
        </w:numPr>
        <w:overflowPunct w:val="0"/>
        <w:autoSpaceDE w:val="0"/>
        <w:autoSpaceDN w:val="0"/>
        <w:adjustRightInd w:val="0"/>
        <w:snapToGrid w:val="0"/>
        <w:spacing w:before="60" w:beforeLines="25" w:after="120" w:line="300" w:lineRule="auto"/>
        <w:ind w:firstLineChars="0"/>
        <w:textAlignment w:val="baseline"/>
      </w:pPr>
      <w:r>
        <w:rPr>
          <w:rFonts w:ascii="Times" w:hAnsi="Times" w:eastAsia="Batang" w:cs="Times"/>
          <w:szCs w:val="24"/>
          <w:lang w:val="en-GB"/>
        </w:rPr>
        <w:t>Opt-2: configuring RRC TCI state pool per individual CC</w:t>
      </w:r>
      <w:r>
        <w:rPr>
          <w:rFonts w:hint="eastAsia"/>
        </w:rPr>
        <w:t xml:space="preserve">. </w:t>
      </w:r>
    </w:p>
    <w:p>
      <w:pPr>
        <w:overflowPunct w:val="0"/>
        <w:autoSpaceDE w:val="0"/>
        <w:autoSpaceDN w:val="0"/>
        <w:adjustRightInd w:val="0"/>
        <w:snapToGrid w:val="0"/>
        <w:spacing w:before="60" w:beforeLines="25" w:after="120" w:line="300" w:lineRule="auto"/>
        <w:textAlignment w:val="baseline"/>
      </w:pPr>
      <w:r>
        <w:rPr>
          <w:rFonts w:hint="eastAsia"/>
        </w:rPr>
        <w:t>Specifically,</w:t>
      </w:r>
      <w:r>
        <w:t xml:space="preserve"> we have the following analysis about the two candidate options above: </w:t>
      </w:r>
    </w:p>
    <w:p>
      <w:pPr>
        <w:numPr>
          <w:ilvl w:val="0"/>
          <w:numId w:val="15"/>
        </w:numPr>
        <w:spacing w:after="120"/>
      </w:pPr>
      <w:r>
        <w:rPr>
          <w:rFonts w:hint="eastAsia"/>
        </w:rPr>
        <w:t xml:space="preserve">For common beam indication of DL and UL channel/RS, the (unified) TCI state may include QCL assumption of DL channel/RS, spatial relation of UL chnanel/RS and power control parameters of UL channel/RS. As elaborated in Table 1, for common beam indication of DL and UL channel/RS per BWP in a CC, RRC configuration of 128 TCI states requires up to 9089 bits (corresponding to 1.12 kB). Due to up to 4 BWPs are supported in a CC, up to 1.12*4=4.48 kB are required </w:t>
      </w:r>
      <w:r>
        <w:t>per</w:t>
      </w:r>
      <w:r>
        <w:rPr>
          <w:rFonts w:hint="eastAsia"/>
        </w:rPr>
        <w:t xml:space="preserve"> CC. Further, for multiple CCs and multiple BWPs, the signaling overhead of RRC configuration of TCI states is summarized in Figure 1.</w:t>
      </w:r>
      <w:r>
        <w:t xml:space="preserve"> </w:t>
      </w:r>
    </w:p>
    <w:p>
      <w:pPr>
        <w:numPr>
          <w:ilvl w:val="0"/>
          <w:numId w:val="15"/>
        </w:numPr>
        <w:spacing w:after="120"/>
      </w:pPr>
      <w:r>
        <w:t xml:space="preserve">It can </w:t>
      </w:r>
      <w:r>
        <w:rPr>
          <w:rFonts w:hint="eastAsia"/>
        </w:rPr>
        <w:t xml:space="preserve">be </w:t>
      </w:r>
      <w:r>
        <w:t>observed</w:t>
      </w:r>
      <w:r>
        <w:rPr>
          <w:rFonts w:hint="eastAsia"/>
        </w:rPr>
        <w:t xml:space="preserve"> that</w:t>
      </w:r>
      <w:r>
        <w:t xml:space="preserve"> with the increase of</w:t>
      </w:r>
      <w:r>
        <w:rPr>
          <w:rFonts w:hint="eastAsia"/>
        </w:rPr>
        <w:t xml:space="preserve"> the</w:t>
      </w:r>
      <w:r>
        <w:t xml:space="preserve"> number of CCs, RRC overhead in Opt-2 rises sharply. For instance, in the worst case, the RRC overhead can be up to </w:t>
      </w:r>
      <w:r>
        <w:rPr>
          <w:rFonts w:hint="eastAsia"/>
        </w:rPr>
        <w:t>143.36</w:t>
      </w:r>
      <w:r>
        <w:t xml:space="preserve"> kB when all of 32 CCs have been configured with respective TCI state pools. But, on the other hand, due to sharing the same RRC pool, the RRC overhead in Opt-1 can be kept unchanged, and only the RRC overhead of 1</w:t>
      </w:r>
      <w:r>
        <w:rPr>
          <w:rFonts w:hint="eastAsia"/>
        </w:rPr>
        <w:t>.12</w:t>
      </w:r>
      <w:r>
        <w:t xml:space="preserve"> kB is needed. It means that compared with Opt-2, the RRC overhead in Opt-1 can be saved significantly.</w:t>
      </w:r>
    </w:p>
    <w:p>
      <w:pPr>
        <w:pStyle w:val="124"/>
        <w:numPr>
          <w:ilvl w:val="0"/>
          <w:numId w:val="15"/>
        </w:numPr>
        <w:overflowPunct w:val="0"/>
        <w:autoSpaceDE w:val="0"/>
        <w:autoSpaceDN w:val="0"/>
        <w:adjustRightInd w:val="0"/>
        <w:snapToGrid w:val="0"/>
        <w:spacing w:before="60" w:beforeLines="25" w:after="120" w:line="300" w:lineRule="auto"/>
        <w:ind w:firstLineChars="0"/>
        <w:textAlignment w:val="baseline"/>
      </w:pPr>
      <w:r>
        <w:t>However, from the perspective of RRC configuration flexibility, it is no doubt that the Opt-2 outperforms the Opt-1 due to the fact that the RS ID in the TCI state can be configured per CC. But, considering the unified TCI state framework, the same beam is applied to both DL and UL channel across a CC group, and it is natural that the identical RS configuration (e.g., TRS) is configured for the CC group. Therefore, gNB only need to guarantee that the RS (e.g., TRS) with same ID share the same Tx beam across the CC group, and so the loss related to RRC configuration flexibility should be acceptable.</w:t>
      </w:r>
    </w:p>
    <w:p>
      <w:pPr>
        <w:spacing w:before="120" w:beforeLines="50" w:after="120"/>
        <w:rPr>
          <w:b/>
          <w:i/>
        </w:rPr>
      </w:pPr>
      <w:r>
        <w:rPr>
          <w:b/>
          <w:i/>
        </w:rPr>
        <w:t xml:space="preserve">Observation 1: </w:t>
      </w:r>
    </w:p>
    <w:p>
      <w:pPr>
        <w:numPr>
          <w:ilvl w:val="0"/>
          <w:numId w:val="10"/>
        </w:numPr>
        <w:snapToGrid w:val="0"/>
        <w:spacing w:before="60" w:after="120" w:line="300" w:lineRule="auto"/>
        <w:ind w:left="360" w:leftChars="0" w:hanging="360" w:firstLineChars="0"/>
        <w:rPr>
          <w:i/>
        </w:rPr>
      </w:pPr>
      <w:r>
        <w:rPr>
          <w:i/>
        </w:rPr>
        <w:t xml:space="preserve">Due to sharing a single RRC TCI state pool for a CC group rather than respective pools per CC, </w:t>
      </w:r>
      <w:r>
        <w:rPr>
          <w:rFonts w:eastAsia="t"/>
          <w:i/>
        </w:rPr>
        <w:t xml:space="preserve">Opt-1 </w:t>
      </w:r>
      <w:r>
        <w:rPr>
          <w:i/>
        </w:rPr>
        <w:t>can significantly save RRC overhead over Opt-2, e.g., 1</w:t>
      </w:r>
      <w:r>
        <w:rPr>
          <w:rFonts w:hint="eastAsia"/>
          <w:i/>
        </w:rPr>
        <w:t>.12</w:t>
      </w:r>
      <w:r>
        <w:rPr>
          <w:i/>
        </w:rPr>
        <w:t>kB vs 1</w:t>
      </w:r>
      <w:r>
        <w:rPr>
          <w:rFonts w:hint="eastAsia"/>
          <w:i/>
        </w:rPr>
        <w:t>43.36</w:t>
      </w:r>
      <w:r>
        <w:rPr>
          <w:i/>
        </w:rPr>
        <w:t xml:space="preserve"> kB.</w:t>
      </w:r>
    </w:p>
    <w:p>
      <w:pPr>
        <w:numPr>
          <w:ilvl w:val="0"/>
          <w:numId w:val="10"/>
        </w:numPr>
        <w:snapToGrid w:val="0"/>
        <w:spacing w:before="60" w:after="120" w:line="300" w:lineRule="auto"/>
        <w:ind w:left="360" w:leftChars="0" w:hanging="360" w:firstLineChars="0"/>
        <w:rPr>
          <w:i/>
          <w:iCs/>
        </w:rPr>
      </w:pPr>
      <w:r>
        <w:rPr>
          <w:i/>
        </w:rPr>
        <w:t xml:space="preserve">Configuration flexibility of Opt-1 is sufficient for unified TCI indication, considering the identical RS configuration (e.g., TRS) across multiple CCs under the requirement of updating a common beam for all RS/channels, although losing some flexibility compared with Opt-2.  </w:t>
      </w:r>
    </w:p>
    <w:p>
      <w:pPr>
        <w:overflowPunct w:val="0"/>
        <w:autoSpaceDE w:val="0"/>
        <w:autoSpaceDN w:val="0"/>
        <w:adjustRightInd w:val="0"/>
        <w:snapToGrid w:val="0"/>
        <w:spacing w:before="240" w:beforeLines="100" w:after="0" w:afterLines="0" w:line="300" w:lineRule="auto"/>
        <w:jc w:val="center"/>
        <w:textAlignment w:val="baseline"/>
      </w:pPr>
      <w:r>
        <w:rPr>
          <w:rFonts w:hint="eastAsia"/>
          <w:b/>
          <w:bCs/>
        </w:rPr>
        <w:t xml:space="preserve">Table </w:t>
      </w:r>
      <w:r>
        <w:rPr>
          <w:b/>
          <w:bCs/>
        </w:rPr>
        <w:t xml:space="preserve">1 </w:t>
      </w:r>
      <w:r>
        <w:rPr>
          <w:bCs/>
        </w:rPr>
        <w:t>Bit</w:t>
      </w:r>
      <w:r>
        <w:rPr>
          <w:rFonts w:hint="eastAsia"/>
        </w:rPr>
        <w:t>(s) required for RRC configuration of TCI state(s) applicable to common beam indication</w:t>
      </w:r>
    </w:p>
    <w:tbl>
      <w:tblPr>
        <w:tblStyle w:val="26"/>
        <w:tblW w:w="8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9"/>
        <w:gridCol w:w="3699"/>
        <w:gridCol w:w="2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8" w:type="dxa"/>
            <w:gridSpan w:val="2"/>
            <w:vAlign w:val="center"/>
          </w:tcPr>
          <w:p>
            <w:pPr>
              <w:overflowPunct w:val="0"/>
              <w:autoSpaceDE w:val="0"/>
              <w:autoSpaceDN w:val="0"/>
              <w:adjustRightInd w:val="0"/>
              <w:snapToGrid w:val="0"/>
              <w:spacing w:before="60" w:beforeLines="25" w:after="120" w:line="300" w:lineRule="auto"/>
              <w:jc w:val="center"/>
              <w:textAlignment w:val="baseline"/>
              <w:rPr>
                <w:b/>
                <w:bCs/>
              </w:rPr>
            </w:pPr>
            <w:r>
              <w:rPr>
                <w:rFonts w:hint="eastAsia"/>
                <w:b/>
                <w:bCs/>
              </w:rPr>
              <w:t>Element in TCI state</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rPr>
                <w:b/>
                <w:bCs/>
              </w:rPr>
            </w:pPr>
            <w:r>
              <w:rPr>
                <w:rFonts w:hint="eastAsia"/>
                <w:b/>
                <w:bCs/>
              </w:rPr>
              <w:t>The number of required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8" w:type="dxa"/>
            <w:gridSpan w:val="2"/>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TCI-StateId</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9" w:type="dxa"/>
            <w:vMerge w:val="restart"/>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QCL-Info</w:t>
            </w:r>
          </w:p>
        </w:tc>
        <w:tc>
          <w:tcPr>
            <w:tcW w:w="3699" w:type="dxa"/>
            <w:vAlign w:val="center"/>
          </w:tcPr>
          <w:p>
            <w:pPr>
              <w:overflowPunct w:val="0"/>
              <w:autoSpaceDE w:val="0"/>
              <w:autoSpaceDN w:val="0"/>
              <w:adjustRightInd w:val="0"/>
              <w:snapToGrid w:val="0"/>
              <w:spacing w:before="60" w:beforeLines="25" w:after="120" w:line="300" w:lineRule="auto"/>
              <w:jc w:val="center"/>
              <w:textAlignment w:val="baseline"/>
            </w:pPr>
            <w:r>
              <w:t>ServCellIndex</w:t>
            </w:r>
            <w:r>
              <w:rPr>
                <w:rFonts w:hint="eastAsia"/>
              </w:rPr>
              <w:t xml:space="preserve"> (OPTIONAL)</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9" w:type="dxa"/>
            <w:vMerge w:val="continue"/>
            <w:vAlign w:val="center"/>
          </w:tcPr>
          <w:p>
            <w:pPr>
              <w:overflowPunct w:val="0"/>
              <w:autoSpaceDE w:val="0"/>
              <w:autoSpaceDN w:val="0"/>
              <w:adjustRightInd w:val="0"/>
              <w:snapToGrid w:val="0"/>
              <w:spacing w:before="60" w:beforeLines="25" w:after="120" w:line="300" w:lineRule="auto"/>
              <w:jc w:val="center"/>
              <w:textAlignment w:val="baseline"/>
            </w:pPr>
          </w:p>
        </w:tc>
        <w:tc>
          <w:tcPr>
            <w:tcW w:w="3699" w:type="dxa"/>
            <w:vAlign w:val="center"/>
          </w:tcPr>
          <w:p>
            <w:pPr>
              <w:overflowPunct w:val="0"/>
              <w:autoSpaceDE w:val="0"/>
              <w:autoSpaceDN w:val="0"/>
              <w:adjustRightInd w:val="0"/>
              <w:snapToGrid w:val="0"/>
              <w:spacing w:before="60" w:beforeLines="25" w:after="120" w:line="300" w:lineRule="auto"/>
              <w:jc w:val="center"/>
              <w:textAlignment w:val="baseline"/>
            </w:pPr>
            <w:r>
              <w:t>BWP-Id</w:t>
            </w:r>
            <w:r>
              <w:rPr>
                <w:rFonts w:hint="eastAsia"/>
              </w:rPr>
              <w:t xml:space="preserve"> (OPTIONAL)</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9" w:type="dxa"/>
            <w:vMerge w:val="continue"/>
            <w:vAlign w:val="center"/>
          </w:tcPr>
          <w:p>
            <w:pPr>
              <w:overflowPunct w:val="0"/>
              <w:autoSpaceDE w:val="0"/>
              <w:autoSpaceDN w:val="0"/>
              <w:adjustRightInd w:val="0"/>
              <w:snapToGrid w:val="0"/>
              <w:spacing w:before="60" w:beforeLines="25" w:after="120" w:line="300" w:lineRule="auto"/>
              <w:jc w:val="center"/>
              <w:textAlignment w:val="baseline"/>
            </w:pPr>
          </w:p>
        </w:tc>
        <w:tc>
          <w:tcPr>
            <w:tcW w:w="3699" w:type="dxa"/>
            <w:vAlign w:val="center"/>
          </w:tcPr>
          <w:p>
            <w:pPr>
              <w:overflowPunct w:val="0"/>
              <w:autoSpaceDE w:val="0"/>
              <w:autoSpaceDN w:val="0"/>
              <w:adjustRightInd w:val="0"/>
              <w:snapToGrid w:val="0"/>
              <w:spacing w:before="60" w:beforeLines="25" w:after="120" w:line="300" w:lineRule="auto"/>
              <w:jc w:val="center"/>
              <w:textAlignment w:val="baseline"/>
            </w:pPr>
            <w:r>
              <w:t>NZP-CSI-RS-ResourceId</w:t>
            </w:r>
            <w:r>
              <w:rPr>
                <w:rFonts w:hint="eastAsia"/>
              </w:rPr>
              <w:t xml:space="preserve"> or SSB-Index</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8 or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9" w:type="dxa"/>
            <w:vMerge w:val="continue"/>
            <w:vAlign w:val="center"/>
          </w:tcPr>
          <w:p>
            <w:pPr>
              <w:overflowPunct w:val="0"/>
              <w:autoSpaceDE w:val="0"/>
              <w:autoSpaceDN w:val="0"/>
              <w:adjustRightInd w:val="0"/>
              <w:snapToGrid w:val="0"/>
              <w:spacing w:before="60" w:beforeLines="25" w:after="120" w:line="300" w:lineRule="auto"/>
              <w:jc w:val="center"/>
              <w:textAlignment w:val="baseline"/>
            </w:pPr>
          </w:p>
        </w:tc>
        <w:tc>
          <w:tcPr>
            <w:tcW w:w="3699"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qcl-Type</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9" w:type="dxa"/>
            <w:vMerge w:val="restart"/>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QCL-Info (OPTIONAL)</w:t>
            </w:r>
          </w:p>
        </w:tc>
        <w:tc>
          <w:tcPr>
            <w:tcW w:w="3699" w:type="dxa"/>
            <w:vAlign w:val="center"/>
          </w:tcPr>
          <w:p>
            <w:pPr>
              <w:overflowPunct w:val="0"/>
              <w:autoSpaceDE w:val="0"/>
              <w:autoSpaceDN w:val="0"/>
              <w:adjustRightInd w:val="0"/>
              <w:snapToGrid w:val="0"/>
              <w:spacing w:before="60" w:beforeLines="25" w:after="120" w:line="300" w:lineRule="auto"/>
              <w:jc w:val="center"/>
              <w:textAlignment w:val="baseline"/>
            </w:pPr>
            <w:r>
              <w:t>ServCellIndex</w:t>
            </w:r>
            <w:r>
              <w:rPr>
                <w:rFonts w:hint="eastAsia"/>
              </w:rPr>
              <w:t xml:space="preserve"> (OPTIONAL)</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9" w:type="dxa"/>
            <w:vMerge w:val="continue"/>
            <w:vAlign w:val="center"/>
          </w:tcPr>
          <w:p>
            <w:pPr>
              <w:overflowPunct w:val="0"/>
              <w:autoSpaceDE w:val="0"/>
              <w:autoSpaceDN w:val="0"/>
              <w:adjustRightInd w:val="0"/>
              <w:snapToGrid w:val="0"/>
              <w:spacing w:before="60" w:beforeLines="25" w:after="120" w:line="300" w:lineRule="auto"/>
              <w:jc w:val="center"/>
              <w:textAlignment w:val="baseline"/>
            </w:pPr>
          </w:p>
        </w:tc>
        <w:tc>
          <w:tcPr>
            <w:tcW w:w="3699" w:type="dxa"/>
            <w:vAlign w:val="center"/>
          </w:tcPr>
          <w:p>
            <w:pPr>
              <w:overflowPunct w:val="0"/>
              <w:autoSpaceDE w:val="0"/>
              <w:autoSpaceDN w:val="0"/>
              <w:adjustRightInd w:val="0"/>
              <w:snapToGrid w:val="0"/>
              <w:spacing w:before="60" w:beforeLines="25" w:after="120" w:line="300" w:lineRule="auto"/>
              <w:jc w:val="center"/>
              <w:textAlignment w:val="baseline"/>
            </w:pPr>
            <w:r>
              <w:t>BWP-Id</w:t>
            </w:r>
            <w:r>
              <w:rPr>
                <w:rFonts w:hint="eastAsia"/>
              </w:rPr>
              <w:t xml:space="preserve"> (OPTIONAL)</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9" w:type="dxa"/>
            <w:vMerge w:val="continue"/>
            <w:vAlign w:val="center"/>
          </w:tcPr>
          <w:p>
            <w:pPr>
              <w:overflowPunct w:val="0"/>
              <w:autoSpaceDE w:val="0"/>
              <w:autoSpaceDN w:val="0"/>
              <w:adjustRightInd w:val="0"/>
              <w:snapToGrid w:val="0"/>
              <w:spacing w:before="60" w:beforeLines="25" w:after="120" w:line="300" w:lineRule="auto"/>
              <w:jc w:val="center"/>
              <w:textAlignment w:val="baseline"/>
            </w:pPr>
          </w:p>
        </w:tc>
        <w:tc>
          <w:tcPr>
            <w:tcW w:w="3699" w:type="dxa"/>
            <w:vAlign w:val="center"/>
          </w:tcPr>
          <w:p>
            <w:pPr>
              <w:overflowPunct w:val="0"/>
              <w:autoSpaceDE w:val="0"/>
              <w:autoSpaceDN w:val="0"/>
              <w:adjustRightInd w:val="0"/>
              <w:snapToGrid w:val="0"/>
              <w:spacing w:before="60" w:beforeLines="25" w:after="120" w:line="300" w:lineRule="auto"/>
              <w:jc w:val="center"/>
              <w:textAlignment w:val="baseline"/>
            </w:pPr>
            <w:r>
              <w:t>NZP-CSI-RS-ResourceId</w:t>
            </w:r>
            <w:r>
              <w:rPr>
                <w:rFonts w:hint="eastAsia"/>
              </w:rPr>
              <w:t xml:space="preserve"> or SSB-Index</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8 or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9" w:type="dxa"/>
            <w:vMerge w:val="continue"/>
            <w:vAlign w:val="center"/>
          </w:tcPr>
          <w:p>
            <w:pPr>
              <w:overflowPunct w:val="0"/>
              <w:autoSpaceDE w:val="0"/>
              <w:autoSpaceDN w:val="0"/>
              <w:adjustRightInd w:val="0"/>
              <w:snapToGrid w:val="0"/>
              <w:spacing w:before="60" w:beforeLines="25" w:after="120" w:line="300" w:lineRule="auto"/>
              <w:jc w:val="center"/>
              <w:textAlignment w:val="baseline"/>
            </w:pPr>
          </w:p>
        </w:tc>
        <w:tc>
          <w:tcPr>
            <w:tcW w:w="3699"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qcl-Type</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8" w:type="dxa"/>
            <w:gridSpan w:val="2"/>
            <w:vAlign w:val="center"/>
          </w:tcPr>
          <w:p>
            <w:pPr>
              <w:overflowPunct w:val="0"/>
              <w:autoSpaceDE w:val="0"/>
              <w:autoSpaceDN w:val="0"/>
              <w:adjustRightInd w:val="0"/>
              <w:snapToGrid w:val="0"/>
              <w:spacing w:before="60" w:beforeLines="25" w:after="120" w:line="300" w:lineRule="auto"/>
              <w:jc w:val="center"/>
              <w:textAlignment w:val="baseline"/>
            </w:pPr>
            <w:r>
              <w:t>ServCellIndex</w:t>
            </w:r>
            <w:r>
              <w:rPr>
                <w:rFonts w:hint="eastAsia"/>
              </w:rPr>
              <w:t xml:space="preserve"> (OPTIONAL)</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9"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Spatial relation</w:t>
            </w:r>
          </w:p>
        </w:tc>
        <w:tc>
          <w:tcPr>
            <w:tcW w:w="3699" w:type="dxa"/>
            <w:vAlign w:val="center"/>
          </w:tcPr>
          <w:p>
            <w:pPr>
              <w:overflowPunct w:val="0"/>
              <w:autoSpaceDE w:val="0"/>
              <w:autoSpaceDN w:val="0"/>
              <w:adjustRightInd w:val="0"/>
              <w:snapToGrid w:val="0"/>
              <w:spacing w:before="60" w:beforeLines="25" w:after="120" w:line="300" w:lineRule="auto"/>
              <w:jc w:val="center"/>
              <w:textAlignment w:val="baseline"/>
            </w:pPr>
            <w:r>
              <w:t>NZP-CSI-RS-ResourceId</w:t>
            </w:r>
            <w:r>
              <w:rPr>
                <w:rFonts w:hint="eastAsia"/>
              </w:rPr>
              <w:t>, SSB-Index or SRS-ResourceId</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8 or 6 or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9" w:type="dxa"/>
            <w:vMerge w:val="restart"/>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PC parameters</w:t>
            </w:r>
          </w:p>
        </w:tc>
        <w:tc>
          <w:tcPr>
            <w:tcW w:w="3699" w:type="dxa"/>
            <w:vAlign w:val="center"/>
          </w:tcPr>
          <w:p>
            <w:pPr>
              <w:overflowPunct w:val="0"/>
              <w:autoSpaceDE w:val="0"/>
              <w:autoSpaceDN w:val="0"/>
              <w:adjustRightInd w:val="0"/>
              <w:snapToGrid w:val="0"/>
              <w:spacing w:before="60" w:beforeLines="25" w:after="120" w:line="300" w:lineRule="auto"/>
              <w:jc w:val="center"/>
              <w:textAlignment w:val="baseline"/>
            </w:pPr>
            <w:r>
              <w:t>PathlossReferenceRS-Id</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9" w:type="dxa"/>
            <w:vMerge w:val="continue"/>
            <w:vAlign w:val="center"/>
          </w:tcPr>
          <w:p>
            <w:pPr>
              <w:overflowPunct w:val="0"/>
              <w:autoSpaceDE w:val="0"/>
              <w:autoSpaceDN w:val="0"/>
              <w:adjustRightInd w:val="0"/>
              <w:snapToGrid w:val="0"/>
              <w:spacing w:before="60" w:beforeLines="25" w:after="120" w:line="300" w:lineRule="auto"/>
              <w:jc w:val="center"/>
              <w:textAlignment w:val="baseline"/>
            </w:pPr>
          </w:p>
        </w:tc>
        <w:tc>
          <w:tcPr>
            <w:tcW w:w="3699"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p0-Id</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9" w:type="dxa"/>
            <w:vMerge w:val="continue"/>
            <w:vAlign w:val="center"/>
          </w:tcPr>
          <w:p>
            <w:pPr>
              <w:overflowPunct w:val="0"/>
              <w:autoSpaceDE w:val="0"/>
              <w:autoSpaceDN w:val="0"/>
              <w:adjustRightInd w:val="0"/>
              <w:snapToGrid w:val="0"/>
              <w:spacing w:before="60" w:beforeLines="25" w:after="120" w:line="300" w:lineRule="auto"/>
              <w:jc w:val="center"/>
              <w:textAlignment w:val="baseline"/>
            </w:pPr>
          </w:p>
        </w:tc>
        <w:tc>
          <w:tcPr>
            <w:tcW w:w="3699" w:type="dxa"/>
            <w:vAlign w:val="center"/>
          </w:tcPr>
          <w:p>
            <w:pPr>
              <w:overflowPunct w:val="0"/>
              <w:autoSpaceDE w:val="0"/>
              <w:autoSpaceDN w:val="0"/>
              <w:adjustRightInd w:val="0"/>
              <w:snapToGrid w:val="0"/>
              <w:spacing w:before="60" w:beforeLines="25" w:after="120" w:line="300" w:lineRule="auto"/>
              <w:jc w:val="center"/>
              <w:textAlignment w:val="baseline"/>
            </w:pPr>
            <w:r>
              <w:t>closedLoopIndex</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8" w:type="dxa"/>
            <w:gridSpan w:val="2"/>
            <w:vAlign w:val="center"/>
          </w:tcPr>
          <w:p>
            <w:pPr>
              <w:overflowPunct w:val="0"/>
              <w:autoSpaceDE w:val="0"/>
              <w:autoSpaceDN w:val="0"/>
              <w:adjustRightInd w:val="0"/>
              <w:snapToGrid w:val="0"/>
              <w:spacing w:before="60" w:beforeLines="25" w:after="120" w:line="300" w:lineRule="auto"/>
              <w:jc w:val="center"/>
              <w:textAlignment w:val="baseline"/>
            </w:pPr>
            <w:r>
              <w:t xml:space="preserve">Bits required for RRC configuration of </w:t>
            </w:r>
            <w:r>
              <w:rPr>
                <w:rFonts w:hint="eastAsia"/>
              </w:rPr>
              <w:t xml:space="preserve">1 </w:t>
            </w:r>
            <w:r>
              <w:t>TCI state</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Up to 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8" w:type="dxa"/>
            <w:gridSpan w:val="2"/>
            <w:vAlign w:val="center"/>
          </w:tcPr>
          <w:p>
            <w:pPr>
              <w:overflowPunct w:val="0"/>
              <w:autoSpaceDE w:val="0"/>
              <w:autoSpaceDN w:val="0"/>
              <w:adjustRightInd w:val="0"/>
              <w:snapToGrid w:val="0"/>
              <w:spacing w:before="60" w:beforeLines="25" w:after="120" w:line="300" w:lineRule="auto"/>
              <w:jc w:val="center"/>
              <w:textAlignment w:val="baseline"/>
              <w:rPr>
                <w:b/>
                <w:bCs/>
              </w:rPr>
            </w:pPr>
            <w:r>
              <w:rPr>
                <w:b/>
                <w:bCs/>
              </w:rPr>
              <w:t xml:space="preserve">Bits required for RRC configuration of </w:t>
            </w:r>
            <w:r>
              <w:rPr>
                <w:rFonts w:hint="eastAsia"/>
                <w:b/>
                <w:bCs/>
              </w:rPr>
              <w:t xml:space="preserve">128 </w:t>
            </w:r>
            <w:r>
              <w:rPr>
                <w:b/>
                <w:bCs/>
              </w:rPr>
              <w:t>TCI state</w:t>
            </w:r>
            <w:r>
              <w:rPr>
                <w:rFonts w:hint="eastAsia"/>
                <w:b/>
                <w:bCs/>
              </w:rPr>
              <w:t>s (OPTIONAL)</w:t>
            </w:r>
          </w:p>
        </w:tc>
        <w:tc>
          <w:tcPr>
            <w:tcW w:w="2650" w:type="dxa"/>
            <w:vAlign w:val="center"/>
          </w:tcPr>
          <w:p>
            <w:pPr>
              <w:overflowPunct w:val="0"/>
              <w:autoSpaceDE w:val="0"/>
              <w:autoSpaceDN w:val="0"/>
              <w:adjustRightInd w:val="0"/>
              <w:snapToGrid w:val="0"/>
              <w:spacing w:before="60" w:beforeLines="25" w:after="120" w:line="300" w:lineRule="auto"/>
              <w:jc w:val="center"/>
              <w:textAlignment w:val="baseline"/>
            </w:pPr>
            <w:r>
              <w:rPr>
                <w:rFonts w:hint="eastAsia"/>
              </w:rPr>
              <w:t>Up to 71*128+1=9089</w:t>
            </w:r>
          </w:p>
        </w:tc>
      </w:tr>
    </w:tbl>
    <w:p>
      <w:pPr>
        <w:snapToGrid w:val="0"/>
        <w:spacing w:before="240" w:beforeLines="100" w:after="120" w:line="240" w:lineRule="auto"/>
        <w:jc w:val="center"/>
      </w:pPr>
      <w:r>
        <w:drawing>
          <wp:inline distT="0" distB="0" distL="114300" distR="114300">
            <wp:extent cx="4388485" cy="2689225"/>
            <wp:effectExtent l="0" t="0" r="12065" b="1587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rcRect l="667" t="2585" r="2520" b="5956"/>
                    <a:stretch>
                      <a:fillRect/>
                    </a:stretch>
                  </pic:blipFill>
                  <pic:spPr>
                    <a:xfrm>
                      <a:off x="0" y="0"/>
                      <a:ext cx="4388485" cy="2689225"/>
                    </a:xfrm>
                    <a:prstGeom prst="rect">
                      <a:avLst/>
                    </a:prstGeom>
                  </pic:spPr>
                </pic:pic>
              </a:graphicData>
            </a:graphic>
          </wp:inline>
        </w:drawing>
      </w:r>
    </w:p>
    <w:p>
      <w:pPr>
        <w:snapToGrid w:val="0"/>
        <w:spacing w:before="120" w:beforeLines="50" w:after="120" w:line="240" w:lineRule="auto"/>
        <w:jc w:val="center"/>
        <w:rPr>
          <w:b/>
          <w:bCs/>
        </w:rPr>
      </w:pPr>
      <w:r>
        <w:rPr>
          <w:rFonts w:hint="eastAsia"/>
          <w:b/>
          <w:bCs/>
        </w:rPr>
        <w:t xml:space="preserve">Figure 1 </w:t>
      </w:r>
      <w:r>
        <w:rPr>
          <w:rFonts w:hint="eastAsia"/>
        </w:rPr>
        <w:t>Overhead of RRC configuration required for different numbers of CCs</w:t>
      </w:r>
    </w:p>
    <w:p>
      <w:pPr>
        <w:pStyle w:val="2"/>
        <w:spacing w:before="240" w:after="120"/>
        <w:rPr>
          <w:lang w:val="en-US"/>
        </w:rPr>
      </w:pPr>
      <w:r>
        <w:rPr>
          <w:lang w:val="en-US"/>
        </w:rPr>
        <w:t>E</w:t>
      </w:r>
      <w:r>
        <w:rPr>
          <w:rFonts w:hint="eastAsia"/>
          <w:lang w:val="en-US"/>
        </w:rPr>
        <w:t>valuation</w:t>
      </w:r>
      <w:r>
        <w:rPr>
          <w:lang w:val="en-US"/>
        </w:rPr>
        <w:t xml:space="preserve"> on group based reporting</w:t>
      </w:r>
    </w:p>
    <w:p>
      <w:pPr>
        <w:spacing w:after="120"/>
      </w:pPr>
      <w:r>
        <w:rPr>
          <w:rFonts w:hint="eastAsia"/>
        </w:rPr>
        <w:t xml:space="preserve">In this section, we evaluate reporting quantities in </w:t>
      </w:r>
      <w:r>
        <w:t xml:space="preserve">Option 1 panel-specific reporting and </w:t>
      </w:r>
      <w:r>
        <w:rPr>
          <w:rFonts w:hint="eastAsia"/>
        </w:rPr>
        <w:t>Op</w:t>
      </w:r>
      <w:r>
        <w:t>tion 2 beam group based reporting that has been identified as a candidate solution for facilitating inter-TRP beam pairing</w:t>
      </w:r>
      <w:r>
        <w:rPr>
          <w:rFonts w:hint="eastAsia"/>
        </w:rPr>
        <w:t xml:space="preserve">. </w:t>
      </w:r>
      <w:r>
        <w:t>I</w:t>
      </w:r>
      <w:r>
        <w:rPr>
          <w:rFonts w:eastAsia="微软雅黑"/>
          <w:lang w:val="en-GB"/>
        </w:rPr>
        <w:t>n order to well evaluate different scenarios, we provide our SLS (indoor hotspot and dense urban) and LLS evaluation results for Option 1 and Option 2, respectively.</w:t>
      </w:r>
    </w:p>
    <w:p>
      <w:pPr>
        <w:pStyle w:val="3"/>
        <w:spacing w:before="240" w:after="120"/>
        <w:ind w:left="709" w:hanging="709"/>
        <w:rPr>
          <w:lang w:val="en-US"/>
        </w:rPr>
      </w:pPr>
      <w:r>
        <w:rPr>
          <w:lang w:val="en-US"/>
        </w:rPr>
        <w:t>Evaluation results for Option 1 panel-specific reporting</w:t>
      </w:r>
    </w:p>
    <w:p>
      <w:pPr>
        <w:overflowPunct w:val="0"/>
        <w:autoSpaceDE w:val="0"/>
        <w:autoSpaceDN w:val="0"/>
        <w:adjustRightInd w:val="0"/>
        <w:spacing w:before="120" w:beforeLines="50" w:after="120" w:line="300" w:lineRule="auto"/>
        <w:textAlignment w:val="baseline"/>
        <w:rPr>
          <w:rFonts w:eastAsia="微软雅黑"/>
          <w:lang w:val="en-GB"/>
        </w:rPr>
      </w:pPr>
      <w:r>
        <w:rPr>
          <w:rFonts w:eastAsia="微软雅黑"/>
          <w:lang w:val="en-GB"/>
        </w:rPr>
        <w:t xml:space="preserve">According to the grouping criteria of Option 1 (antenna group based reporting), we evaluate SLS performance for the case that </w:t>
      </w:r>
      <w:r>
        <w:rPr>
          <w:rFonts w:hint="eastAsia" w:eastAsia="微软雅黑"/>
          <w:lang w:val="en-GB"/>
        </w:rPr>
        <w:t>a</w:t>
      </w:r>
      <w:r>
        <w:rPr>
          <w:rFonts w:eastAsia="微软雅黑"/>
          <w:lang w:val="en-GB"/>
        </w:rPr>
        <w:t xml:space="preserve"> UE with 2 Rx panels is served by 2 TRPs in the indoor hotspot and dense urban scenarios under </w:t>
      </w:r>
      <w:r>
        <w:rPr>
          <w:rFonts w:hint="eastAsia" w:eastAsia="微软雅黑"/>
        </w:rPr>
        <w:t xml:space="preserve">the </w:t>
      </w:r>
      <w:r>
        <w:rPr>
          <w:rFonts w:eastAsia="微软雅黑"/>
          <w:lang w:val="en-GB"/>
        </w:rPr>
        <w:t xml:space="preserve">UE blockage model of TS 38.901. In dense urban, we consider the high-mobility case, i.e., speed of UE = 60 km/h. The evaluation assumptions can be found in Table </w:t>
      </w:r>
      <w:r>
        <w:rPr>
          <w:rFonts w:hint="eastAsia" w:eastAsia="微软雅黑"/>
        </w:rPr>
        <w:t>5</w:t>
      </w:r>
      <w:r>
        <w:rPr>
          <w:rFonts w:eastAsia="微软雅黑"/>
          <w:lang w:val="en-GB"/>
        </w:rPr>
        <w:t xml:space="preserve"> and Table </w:t>
      </w:r>
      <w:r>
        <w:rPr>
          <w:rFonts w:hint="eastAsia" w:eastAsia="微软雅黑"/>
        </w:rPr>
        <w:t>6</w:t>
      </w:r>
      <w:r>
        <w:rPr>
          <w:rFonts w:eastAsia="微软雅黑"/>
          <w:lang w:val="en-GB"/>
        </w:rPr>
        <w:t xml:space="preserve"> in the appendix. </w:t>
      </w:r>
    </w:p>
    <w:p>
      <w:pPr>
        <w:overflowPunct w:val="0"/>
        <w:autoSpaceDE w:val="0"/>
        <w:autoSpaceDN w:val="0"/>
        <w:adjustRightInd w:val="0"/>
        <w:spacing w:before="120" w:beforeLines="50" w:after="120" w:line="300" w:lineRule="auto"/>
        <w:textAlignment w:val="baseline"/>
      </w:pPr>
      <w:r>
        <w:rPr>
          <w:rFonts w:eastAsia="微软雅黑"/>
          <w:lang w:val="en-GB"/>
        </w:rPr>
        <w:t xml:space="preserve">The simulation results for indoor hotspot and dense urban are provided as a function of number of beams per group in a report instance and can be found in Table 1 and Table 2 respectively. Rel-15 group based reporting (up to 1 beam for each of 2 UE panels is reported) is considered as baseline. </w:t>
      </w:r>
      <w:r>
        <w:t>From the evaluation results, it can be observed that increase number of beams per group can bring performance benefit due to combat blockage and UE mobility. Specifically, we have the further observation</w:t>
      </w:r>
      <w:r>
        <w:rPr>
          <w:rFonts w:hint="eastAsia"/>
        </w:rPr>
        <w:t>s</w:t>
      </w:r>
      <w:r>
        <w:t xml:space="preserve"> as follows.</w:t>
      </w:r>
    </w:p>
    <w:p>
      <w:pPr>
        <w:numPr>
          <w:ilvl w:val="0"/>
          <w:numId w:val="10"/>
        </w:numPr>
        <w:overflowPunct w:val="0"/>
        <w:autoSpaceDE w:val="0"/>
        <w:autoSpaceDN w:val="0"/>
        <w:adjustRightInd w:val="0"/>
        <w:spacing w:before="120" w:beforeLines="50" w:after="120" w:afterLines="0" w:line="300" w:lineRule="auto"/>
        <w:textAlignment w:val="baseline"/>
        <w:rPr>
          <w:rFonts w:eastAsia="微软雅黑"/>
          <w:lang w:val="en-GB"/>
        </w:rPr>
      </w:pPr>
      <w:r>
        <w:t xml:space="preserve">With the increase of the number of beams to be reported M from only 1 to 4, the performance gain of 7.7% and 5.6% in terms of average UPT can be observed in indoor hotspot and </w:t>
      </w:r>
      <w:r>
        <w:rPr>
          <w:rFonts w:eastAsia="微软雅黑"/>
          <w:lang w:val="en-GB"/>
        </w:rPr>
        <w:t xml:space="preserve">dense urban. </w:t>
      </w:r>
    </w:p>
    <w:p>
      <w:pPr>
        <w:numPr>
          <w:ilvl w:val="0"/>
          <w:numId w:val="10"/>
        </w:numPr>
        <w:overflowPunct w:val="0"/>
        <w:autoSpaceDE w:val="0"/>
        <w:autoSpaceDN w:val="0"/>
        <w:adjustRightInd w:val="0"/>
        <w:spacing w:before="120" w:beforeLines="50" w:after="120" w:afterLines="0" w:line="300" w:lineRule="auto"/>
        <w:textAlignment w:val="baseline"/>
        <w:rPr>
          <w:rFonts w:eastAsia="微软雅黑"/>
          <w:lang w:val="en-GB"/>
        </w:rPr>
      </w:pPr>
      <w:r>
        <w:rPr>
          <w:rFonts w:eastAsia="微软雅黑"/>
          <w:lang w:val="en-GB"/>
        </w:rPr>
        <w:t xml:space="preserve">For 5% cell edge UE in dense urban, we can find the performance gain of </w:t>
      </w:r>
      <w:r>
        <w:rPr>
          <w:rFonts w:hint="eastAsia" w:eastAsia="微软雅黑"/>
          <w:lang w:val="en-GB"/>
        </w:rPr>
        <w:t>36.8%</w:t>
      </w:r>
      <w:r>
        <w:rPr>
          <w:rFonts w:eastAsia="微软雅黑"/>
          <w:lang w:val="en-GB"/>
        </w:rPr>
        <w:t xml:space="preserve"> compared with Rel-15 group based reporting</w:t>
      </w:r>
      <w:r>
        <w:rPr>
          <w:lang w:val="en-GB"/>
        </w:rPr>
        <w:t xml:space="preserve">, which proves that the increase of candidate beams for each UE panel can distinctly enhance the performance of cell-edge UE with high mobility and be against the blockage and UE mobility. </w:t>
      </w:r>
    </w:p>
    <w:p>
      <w:pPr>
        <w:snapToGrid w:val="0"/>
        <w:spacing w:before="120" w:after="120"/>
        <w:jc w:val="center"/>
        <w:rPr>
          <w:rFonts w:eastAsia="微软雅黑"/>
          <w:lang w:val="en-GB"/>
        </w:rPr>
      </w:pPr>
      <w:r>
        <w:rPr>
          <w:rFonts w:eastAsia="微软雅黑"/>
          <w:b/>
          <w:lang w:val="en-GB"/>
        </w:rPr>
        <w:t>Table 2</w:t>
      </w:r>
      <w:r>
        <w:rPr>
          <w:rFonts w:hint="eastAsia" w:eastAsia="微软雅黑"/>
          <w:lang w:val="en-GB"/>
        </w:rPr>
        <w:tab/>
      </w:r>
      <w:r>
        <w:rPr>
          <w:rFonts w:eastAsia="微软雅黑"/>
          <w:lang w:val="en-GB"/>
        </w:rPr>
        <w:t>SLS for Option 1 (panel-specific reporting)</w:t>
      </w:r>
      <w:r>
        <w:rPr>
          <w:rFonts w:hint="eastAsia" w:eastAsia="微软雅黑"/>
          <w:lang w:val="en-GB"/>
        </w:rPr>
        <w:t xml:space="preserve"> with </w:t>
      </w:r>
      <w:r>
        <w:rPr>
          <w:rFonts w:hint="eastAsia" w:eastAsia="微软雅黑"/>
          <w:b/>
          <w:i/>
          <w:lang w:val="en-GB"/>
        </w:rPr>
        <w:t xml:space="preserve">M beams per group to be reported and </w:t>
      </w:r>
      <w:r>
        <w:rPr>
          <w:rFonts w:eastAsia="微软雅黑"/>
          <w:b/>
          <w:i/>
          <w:lang w:val="en-GB"/>
        </w:rPr>
        <w:t>N groups</w:t>
      </w:r>
      <w:r>
        <w:rPr>
          <w:rFonts w:eastAsia="微软雅黑"/>
          <w:lang w:val="en-GB"/>
        </w:rPr>
        <w:t xml:space="preserve"> in indoor hotspot</w:t>
      </w:r>
    </w:p>
    <w:tbl>
      <w:tblPr>
        <w:tblStyle w:val="25"/>
        <w:tblW w:w="9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119"/>
        <w:gridCol w:w="1554"/>
        <w:gridCol w:w="1559"/>
        <w:gridCol w:w="1701"/>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beforeLines="50" w:after="120"/>
              <w:jc w:val="center"/>
              <w:textAlignment w:val="center"/>
              <w:rPr>
                <w:lang w:val="en-GB"/>
              </w:rPr>
            </w:pPr>
            <w:r>
              <w:rPr>
                <w:rFonts w:hint="eastAsia"/>
                <w:lang w:val="en-GB"/>
              </w:rPr>
              <w:t>U</w:t>
            </w:r>
            <w:r>
              <w:rPr>
                <w:lang w:val="en-GB"/>
              </w:rPr>
              <w:t>PT (Mbps)</w:t>
            </w:r>
          </w:p>
        </w:tc>
        <w:tc>
          <w:tcPr>
            <w:tcW w:w="1554" w:type="dxa"/>
          </w:tcPr>
          <w:p>
            <w:pPr>
              <w:spacing w:before="120" w:beforeLines="50" w:after="120"/>
              <w:jc w:val="center"/>
              <w:textAlignment w:val="center"/>
              <w:rPr>
                <w:lang w:val="en-GB"/>
              </w:rPr>
            </w:pPr>
            <w:r>
              <w:rPr>
                <w:lang w:val="en-GB"/>
              </w:rPr>
              <w:t xml:space="preserve"> mean</w:t>
            </w:r>
          </w:p>
        </w:tc>
        <w:tc>
          <w:tcPr>
            <w:tcW w:w="1559" w:type="dxa"/>
          </w:tcPr>
          <w:p>
            <w:pPr>
              <w:spacing w:before="120" w:beforeLines="50" w:after="120"/>
              <w:jc w:val="center"/>
              <w:textAlignment w:val="center"/>
              <w:rPr>
                <w:lang w:val="en-GB"/>
              </w:rPr>
            </w:pPr>
            <w:r>
              <w:rPr>
                <w:lang w:val="en-GB"/>
              </w:rPr>
              <w:t>5%-ile</w:t>
            </w:r>
          </w:p>
        </w:tc>
        <w:tc>
          <w:tcPr>
            <w:tcW w:w="1701" w:type="dxa"/>
          </w:tcPr>
          <w:p>
            <w:pPr>
              <w:spacing w:before="120" w:beforeLines="50" w:after="120"/>
              <w:jc w:val="center"/>
              <w:textAlignment w:val="center"/>
              <w:rPr>
                <w:lang w:val="en-GB"/>
              </w:rPr>
            </w:pPr>
            <w:r>
              <w:rPr>
                <w:lang w:val="en-GB"/>
              </w:rPr>
              <w:t>50%-ile</w:t>
            </w:r>
          </w:p>
        </w:tc>
        <w:tc>
          <w:tcPr>
            <w:tcW w:w="1701" w:type="dxa"/>
          </w:tcPr>
          <w:p>
            <w:pPr>
              <w:spacing w:before="120" w:beforeLines="50" w:after="120"/>
              <w:jc w:val="center"/>
              <w:textAlignment w:val="center"/>
              <w:rPr>
                <w:lang w:val="en-GB"/>
              </w:rPr>
            </w:pPr>
            <w:r>
              <w:rPr>
                <w:lang w:val="en-GB"/>
              </w:rPr>
              <w:t>95%-ile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beforeLines="50" w:after="120"/>
              <w:jc w:val="center"/>
              <w:textAlignment w:val="center"/>
              <w:rPr>
                <w:lang w:val="en-GB"/>
              </w:rPr>
            </w:pPr>
            <w:r>
              <w:rPr>
                <w:lang w:val="en-GB"/>
              </w:rPr>
              <w:t>(</w:t>
            </w:r>
            <w:r>
              <w:rPr>
                <w:rFonts w:hint="eastAsia"/>
                <w:lang w:val="en-GB"/>
              </w:rPr>
              <w:t>N = 2 group</w:t>
            </w:r>
            <w:r>
              <w:rPr>
                <w:lang w:val="en-GB"/>
              </w:rPr>
              <w:t xml:space="preserve">, </w:t>
            </w:r>
            <w:r>
              <w:rPr>
                <w:rFonts w:hint="eastAsia"/>
                <w:lang w:val="en-GB"/>
              </w:rPr>
              <w:t xml:space="preserve">M = </w:t>
            </w:r>
            <w:r>
              <w:rPr>
                <w:lang w:val="en-GB"/>
              </w:rPr>
              <w:t>1</w:t>
            </w:r>
            <w:r>
              <w:rPr>
                <w:rFonts w:hint="eastAsia"/>
                <w:lang w:val="en-GB"/>
              </w:rPr>
              <w:t xml:space="preserve"> beam</w:t>
            </w:r>
            <w:r>
              <w:rPr>
                <w:lang w:val="en-GB"/>
              </w:rPr>
              <w:t>)</w:t>
            </w:r>
          </w:p>
          <w:p>
            <w:pPr>
              <w:spacing w:before="120" w:beforeLines="50" w:after="120"/>
              <w:jc w:val="center"/>
              <w:textAlignment w:val="center"/>
              <w:rPr>
                <w:lang w:val="en-GB"/>
              </w:rPr>
            </w:pPr>
            <w:r>
              <w:rPr>
                <w:lang w:val="en-GB"/>
              </w:rPr>
              <w:t>i.e., Rel-15 group reporting</w:t>
            </w:r>
          </w:p>
        </w:tc>
        <w:tc>
          <w:tcPr>
            <w:tcW w:w="1554" w:type="dxa"/>
          </w:tcPr>
          <w:p>
            <w:pPr>
              <w:spacing w:before="120" w:beforeLines="50" w:after="120"/>
              <w:jc w:val="center"/>
              <w:textAlignment w:val="center"/>
              <w:rPr>
                <w:lang w:val="en-GB"/>
              </w:rPr>
            </w:pPr>
            <w:r>
              <w:rPr>
                <w:lang w:val="en-GB"/>
              </w:rPr>
              <w:t>89.48</w:t>
            </w:r>
          </w:p>
          <w:p>
            <w:pPr>
              <w:spacing w:before="120" w:beforeLines="50" w:after="120"/>
              <w:jc w:val="center"/>
              <w:textAlignment w:val="center"/>
              <w:rPr>
                <w:lang w:val="en-GB"/>
              </w:rPr>
            </w:pPr>
            <w:r>
              <w:rPr>
                <w:rFonts w:hint="eastAsia"/>
                <w:lang w:val="en-GB"/>
              </w:rPr>
              <w:t>(</w:t>
            </w:r>
            <w:r>
              <w:rPr>
                <w:lang w:val="en-GB"/>
              </w:rPr>
              <w:t>100%</w:t>
            </w:r>
            <w:r>
              <w:rPr>
                <w:rFonts w:hint="eastAsia"/>
                <w:lang w:val="en-GB"/>
              </w:rPr>
              <w:t>)</w:t>
            </w:r>
          </w:p>
        </w:tc>
        <w:tc>
          <w:tcPr>
            <w:tcW w:w="1559" w:type="dxa"/>
          </w:tcPr>
          <w:p>
            <w:pPr>
              <w:spacing w:before="120" w:beforeLines="50" w:after="120"/>
              <w:jc w:val="center"/>
              <w:textAlignment w:val="center"/>
              <w:rPr>
                <w:lang w:val="en-GB"/>
              </w:rPr>
            </w:pPr>
            <w:r>
              <w:rPr>
                <w:lang w:val="en-GB"/>
              </w:rPr>
              <w:t>52.02</w:t>
            </w:r>
          </w:p>
          <w:p>
            <w:pPr>
              <w:spacing w:before="120" w:beforeLines="50" w:after="120"/>
              <w:jc w:val="center"/>
              <w:textAlignment w:val="center"/>
              <w:rPr>
                <w:lang w:val="en-GB"/>
              </w:rPr>
            </w:pPr>
            <w:r>
              <w:rPr>
                <w:rFonts w:hint="eastAsia"/>
                <w:lang w:val="en-GB"/>
              </w:rPr>
              <w:t>(</w:t>
            </w:r>
            <w:r>
              <w:rPr>
                <w:lang w:val="en-GB"/>
              </w:rPr>
              <w:t>100%</w:t>
            </w:r>
            <w:r>
              <w:rPr>
                <w:rFonts w:hint="eastAsia"/>
                <w:lang w:val="en-GB"/>
              </w:rPr>
              <w:t>)</w:t>
            </w:r>
          </w:p>
        </w:tc>
        <w:tc>
          <w:tcPr>
            <w:tcW w:w="1701" w:type="dxa"/>
          </w:tcPr>
          <w:p>
            <w:pPr>
              <w:spacing w:before="120" w:beforeLines="50" w:after="120"/>
              <w:jc w:val="center"/>
              <w:textAlignment w:val="center"/>
              <w:rPr>
                <w:lang w:val="en-GB"/>
              </w:rPr>
            </w:pPr>
            <w:r>
              <w:rPr>
                <w:rFonts w:hint="eastAsia"/>
                <w:lang w:val="en-GB"/>
              </w:rPr>
              <w:t>7</w:t>
            </w:r>
            <w:r>
              <w:rPr>
                <w:lang w:val="en-GB"/>
              </w:rPr>
              <w:t>9.20</w:t>
            </w:r>
          </w:p>
          <w:p>
            <w:pPr>
              <w:spacing w:before="120" w:beforeLines="50" w:after="120"/>
              <w:jc w:val="center"/>
              <w:textAlignment w:val="center"/>
              <w:rPr>
                <w:lang w:val="en-GB"/>
              </w:rPr>
            </w:pPr>
            <w:r>
              <w:rPr>
                <w:rFonts w:hint="eastAsia"/>
                <w:lang w:val="en-GB"/>
              </w:rPr>
              <w:t>(</w:t>
            </w:r>
            <w:r>
              <w:rPr>
                <w:lang w:val="en-GB"/>
              </w:rPr>
              <w:t>100%</w:t>
            </w:r>
            <w:r>
              <w:rPr>
                <w:rFonts w:hint="eastAsia"/>
                <w:lang w:val="en-GB"/>
              </w:rPr>
              <w:t>)</w:t>
            </w:r>
          </w:p>
        </w:tc>
        <w:tc>
          <w:tcPr>
            <w:tcW w:w="1701" w:type="dxa"/>
          </w:tcPr>
          <w:p>
            <w:pPr>
              <w:spacing w:before="120" w:beforeLines="50" w:after="120"/>
              <w:jc w:val="center"/>
              <w:textAlignment w:val="center"/>
              <w:rPr>
                <w:lang w:val="en-GB"/>
              </w:rPr>
            </w:pPr>
            <w:r>
              <w:rPr>
                <w:lang w:val="en-GB"/>
              </w:rPr>
              <w:t>176.47</w:t>
            </w:r>
          </w:p>
          <w:p>
            <w:pPr>
              <w:spacing w:before="120" w:beforeLines="50" w:after="120"/>
              <w:jc w:val="center"/>
              <w:textAlignment w:val="center"/>
              <w:rPr>
                <w:lang w:val="en-GB"/>
              </w:rPr>
            </w:pPr>
            <w:r>
              <w:rPr>
                <w:rFonts w:hint="eastAsia"/>
                <w:lang w:val="en-GB"/>
              </w:rPr>
              <w:t>(</w:t>
            </w:r>
            <w:r>
              <w:rPr>
                <w:lang w:val="en-GB"/>
              </w:rPr>
              <w:t>100%</w:t>
            </w:r>
            <w:r>
              <w:rPr>
                <w:rFonts w:hint="eastAsia"/>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beforeLines="50" w:after="120"/>
              <w:jc w:val="center"/>
              <w:textAlignment w:val="center"/>
              <w:rPr>
                <w:lang w:val="en-GB"/>
              </w:rPr>
            </w:pPr>
            <w:r>
              <w:rPr>
                <w:lang w:val="en-GB"/>
              </w:rPr>
              <w:t>(</w:t>
            </w:r>
            <w:r>
              <w:rPr>
                <w:rFonts w:hint="eastAsia"/>
                <w:lang w:val="en-GB"/>
              </w:rPr>
              <w:t>N = 2 group</w:t>
            </w:r>
            <w:r>
              <w:rPr>
                <w:lang w:val="en-GB"/>
              </w:rPr>
              <w:t xml:space="preserve">, </w:t>
            </w:r>
            <w:r>
              <w:rPr>
                <w:rFonts w:hint="eastAsia"/>
                <w:lang w:val="en-GB"/>
              </w:rPr>
              <w:t xml:space="preserve">M = </w:t>
            </w:r>
            <w:r>
              <w:rPr>
                <w:lang w:val="en-GB"/>
              </w:rPr>
              <w:t>2</w:t>
            </w:r>
            <w:r>
              <w:rPr>
                <w:rFonts w:hint="eastAsia"/>
                <w:lang w:val="en-GB"/>
              </w:rPr>
              <w:t xml:space="preserve"> beam</w:t>
            </w:r>
            <w:r>
              <w:rPr>
                <w:lang w:val="en-GB"/>
              </w:rPr>
              <w:t>s)</w:t>
            </w:r>
          </w:p>
        </w:tc>
        <w:tc>
          <w:tcPr>
            <w:tcW w:w="1554" w:type="dxa"/>
          </w:tcPr>
          <w:p>
            <w:pPr>
              <w:spacing w:before="120" w:beforeLines="50" w:after="120"/>
              <w:jc w:val="center"/>
              <w:textAlignment w:val="center"/>
              <w:rPr>
                <w:lang w:val="en-GB"/>
              </w:rPr>
            </w:pPr>
            <w:r>
              <w:rPr>
                <w:lang w:val="en-GB"/>
              </w:rPr>
              <w:t>93.34</w:t>
            </w:r>
          </w:p>
          <w:p>
            <w:pPr>
              <w:spacing w:before="120" w:beforeLines="50" w:after="120"/>
              <w:jc w:val="center"/>
              <w:textAlignment w:val="center"/>
              <w:rPr>
                <w:lang w:val="en-GB"/>
              </w:rPr>
            </w:pPr>
            <w:r>
              <w:rPr>
                <w:lang w:val="en-GB"/>
              </w:rPr>
              <w:t>(</w:t>
            </w:r>
            <w:r>
              <w:rPr>
                <w:color w:val="FF0000"/>
                <w:lang w:val="en-GB"/>
              </w:rPr>
              <w:t>+4.3%↑</w:t>
            </w:r>
            <w:r>
              <w:rPr>
                <w:lang w:val="en-GB"/>
              </w:rPr>
              <w:t>)</w:t>
            </w:r>
          </w:p>
        </w:tc>
        <w:tc>
          <w:tcPr>
            <w:tcW w:w="1559" w:type="dxa"/>
          </w:tcPr>
          <w:p>
            <w:pPr>
              <w:spacing w:before="120" w:beforeLines="50" w:after="120"/>
              <w:jc w:val="center"/>
              <w:textAlignment w:val="center"/>
              <w:rPr>
                <w:lang w:val="en-GB"/>
              </w:rPr>
            </w:pPr>
            <w:r>
              <w:rPr>
                <w:lang w:val="en-GB"/>
              </w:rPr>
              <w:t>55.50</w:t>
            </w:r>
          </w:p>
          <w:p>
            <w:pPr>
              <w:spacing w:before="120" w:beforeLines="50" w:after="120"/>
              <w:jc w:val="center"/>
              <w:textAlignment w:val="center"/>
              <w:rPr>
                <w:lang w:val="en-GB"/>
              </w:rPr>
            </w:pPr>
            <w:r>
              <w:rPr>
                <w:lang w:val="en-GB"/>
              </w:rPr>
              <w:t>(</w:t>
            </w:r>
            <w:r>
              <w:rPr>
                <w:color w:val="FF0000"/>
                <w:lang w:val="en-GB"/>
              </w:rPr>
              <w:t>+6.7%↑</w:t>
            </w:r>
            <w:r>
              <w:rPr>
                <w:lang w:val="en-GB"/>
              </w:rPr>
              <w:t>)</w:t>
            </w:r>
          </w:p>
        </w:tc>
        <w:tc>
          <w:tcPr>
            <w:tcW w:w="1701" w:type="dxa"/>
          </w:tcPr>
          <w:p>
            <w:pPr>
              <w:spacing w:before="120" w:beforeLines="50" w:after="120"/>
              <w:jc w:val="center"/>
              <w:textAlignment w:val="center"/>
              <w:rPr>
                <w:lang w:val="en-GB"/>
              </w:rPr>
            </w:pPr>
            <w:r>
              <w:rPr>
                <w:lang w:val="en-GB"/>
              </w:rPr>
              <w:t>84.19</w:t>
            </w:r>
          </w:p>
          <w:p>
            <w:pPr>
              <w:spacing w:before="120" w:beforeLines="50" w:after="120"/>
              <w:jc w:val="center"/>
              <w:textAlignment w:val="center"/>
              <w:rPr>
                <w:lang w:val="en-GB"/>
              </w:rPr>
            </w:pPr>
            <w:r>
              <w:rPr>
                <w:lang w:val="en-GB"/>
              </w:rPr>
              <w:t>(</w:t>
            </w:r>
            <w:r>
              <w:rPr>
                <w:color w:val="FF0000"/>
                <w:lang w:val="en-GB"/>
              </w:rPr>
              <w:t>+6.3%↑</w:t>
            </w:r>
            <w:r>
              <w:rPr>
                <w:lang w:val="en-GB"/>
              </w:rPr>
              <w:t>)</w:t>
            </w:r>
          </w:p>
        </w:tc>
        <w:tc>
          <w:tcPr>
            <w:tcW w:w="1701" w:type="dxa"/>
          </w:tcPr>
          <w:p>
            <w:pPr>
              <w:spacing w:before="120" w:beforeLines="50" w:after="120"/>
              <w:jc w:val="center"/>
              <w:textAlignment w:val="center"/>
              <w:rPr>
                <w:lang w:val="en-GB"/>
              </w:rPr>
            </w:pPr>
            <w:r>
              <w:rPr>
                <w:lang w:val="en-GB"/>
              </w:rPr>
              <w:t>182.06</w:t>
            </w:r>
          </w:p>
          <w:p>
            <w:pPr>
              <w:spacing w:before="120" w:beforeLines="50" w:after="120"/>
              <w:jc w:val="center"/>
              <w:textAlignment w:val="center"/>
              <w:rPr>
                <w:lang w:val="en-GB"/>
              </w:rPr>
            </w:pPr>
            <w:r>
              <w:rPr>
                <w:lang w:val="en-GB"/>
              </w:rPr>
              <w:t>(</w:t>
            </w:r>
            <w:r>
              <w:rPr>
                <w:color w:val="FF0000"/>
                <w:lang w:val="en-GB"/>
              </w:rPr>
              <w:t>+3.2%↑</w:t>
            </w:r>
            <w:r>
              <w:rPr>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beforeLines="50" w:after="120"/>
              <w:jc w:val="center"/>
              <w:textAlignment w:val="center"/>
              <w:rPr>
                <w:lang w:val="en-GB"/>
              </w:rPr>
            </w:pPr>
            <w:r>
              <w:rPr>
                <w:lang w:val="en-GB"/>
              </w:rPr>
              <w:t>(</w:t>
            </w:r>
            <w:r>
              <w:rPr>
                <w:rFonts w:hint="eastAsia"/>
                <w:lang w:val="en-GB"/>
              </w:rPr>
              <w:t>N = 2 group</w:t>
            </w:r>
            <w:r>
              <w:rPr>
                <w:lang w:val="en-GB"/>
              </w:rPr>
              <w:t xml:space="preserve">, </w:t>
            </w:r>
            <w:r>
              <w:rPr>
                <w:rFonts w:hint="eastAsia"/>
                <w:lang w:val="en-GB"/>
              </w:rPr>
              <w:t xml:space="preserve">M = </w:t>
            </w:r>
            <w:r>
              <w:rPr>
                <w:lang w:val="en-GB"/>
              </w:rPr>
              <w:t>4</w:t>
            </w:r>
            <w:r>
              <w:rPr>
                <w:rFonts w:hint="eastAsia"/>
                <w:lang w:val="en-GB"/>
              </w:rPr>
              <w:t xml:space="preserve"> beam</w:t>
            </w:r>
            <w:r>
              <w:rPr>
                <w:lang w:val="en-GB"/>
              </w:rPr>
              <w:t>s)</w:t>
            </w:r>
          </w:p>
        </w:tc>
        <w:tc>
          <w:tcPr>
            <w:tcW w:w="1554" w:type="dxa"/>
          </w:tcPr>
          <w:p>
            <w:pPr>
              <w:spacing w:before="120" w:beforeLines="50" w:after="120"/>
              <w:jc w:val="center"/>
              <w:textAlignment w:val="center"/>
              <w:rPr>
                <w:lang w:val="en-GB"/>
              </w:rPr>
            </w:pPr>
            <w:r>
              <w:rPr>
                <w:lang w:val="en-GB"/>
              </w:rPr>
              <w:t>96.36</w:t>
            </w:r>
          </w:p>
          <w:p>
            <w:pPr>
              <w:spacing w:before="120" w:beforeLines="50" w:after="120"/>
              <w:jc w:val="center"/>
              <w:textAlignment w:val="center"/>
              <w:rPr>
                <w:lang w:val="en-GB"/>
              </w:rPr>
            </w:pPr>
            <w:r>
              <w:rPr>
                <w:lang w:val="en-GB"/>
              </w:rPr>
              <w:t>(</w:t>
            </w:r>
            <w:r>
              <w:rPr>
                <w:color w:val="FF0000"/>
                <w:lang w:val="en-GB"/>
              </w:rPr>
              <w:t>+7</w:t>
            </w:r>
            <w:r>
              <w:rPr>
                <w:rFonts w:hint="eastAsia"/>
                <w:color w:val="FF0000"/>
                <w:lang w:val="en-GB"/>
              </w:rPr>
              <w:t>.</w:t>
            </w:r>
            <w:r>
              <w:rPr>
                <w:color w:val="FF0000"/>
                <w:lang w:val="en-GB"/>
              </w:rPr>
              <w:t>7%↑</w:t>
            </w:r>
            <w:r>
              <w:rPr>
                <w:lang w:val="en-GB"/>
              </w:rPr>
              <w:t>)</w:t>
            </w:r>
          </w:p>
        </w:tc>
        <w:tc>
          <w:tcPr>
            <w:tcW w:w="1559" w:type="dxa"/>
          </w:tcPr>
          <w:p>
            <w:pPr>
              <w:spacing w:before="120" w:beforeLines="50" w:after="120"/>
              <w:jc w:val="center"/>
              <w:textAlignment w:val="center"/>
              <w:rPr>
                <w:lang w:val="en-GB"/>
              </w:rPr>
            </w:pPr>
            <w:r>
              <w:rPr>
                <w:lang w:val="en-GB"/>
              </w:rPr>
              <w:t>55.82</w:t>
            </w:r>
          </w:p>
          <w:p>
            <w:pPr>
              <w:spacing w:before="120" w:beforeLines="50" w:after="120"/>
              <w:jc w:val="center"/>
              <w:textAlignment w:val="center"/>
              <w:rPr>
                <w:lang w:val="en-GB"/>
              </w:rPr>
            </w:pPr>
            <w:r>
              <w:rPr>
                <w:lang w:val="en-GB"/>
              </w:rPr>
              <w:t>(</w:t>
            </w:r>
            <w:r>
              <w:rPr>
                <w:color w:val="FF0000"/>
                <w:lang w:val="en-GB"/>
              </w:rPr>
              <w:t>+7.3%↑</w:t>
            </w:r>
            <w:r>
              <w:rPr>
                <w:lang w:val="en-GB"/>
              </w:rPr>
              <w:t>)</w:t>
            </w:r>
          </w:p>
        </w:tc>
        <w:tc>
          <w:tcPr>
            <w:tcW w:w="1701" w:type="dxa"/>
          </w:tcPr>
          <w:p>
            <w:pPr>
              <w:spacing w:before="120" w:beforeLines="50" w:after="120"/>
              <w:jc w:val="center"/>
              <w:textAlignment w:val="center"/>
              <w:rPr>
                <w:lang w:val="en-GB"/>
              </w:rPr>
            </w:pPr>
            <w:r>
              <w:rPr>
                <w:lang w:val="en-GB"/>
              </w:rPr>
              <w:t>84.82</w:t>
            </w:r>
          </w:p>
          <w:p>
            <w:pPr>
              <w:spacing w:before="120" w:beforeLines="50" w:after="120"/>
              <w:jc w:val="center"/>
              <w:textAlignment w:val="center"/>
              <w:rPr>
                <w:lang w:val="en-GB"/>
              </w:rPr>
            </w:pPr>
            <w:r>
              <w:rPr>
                <w:lang w:val="en-GB"/>
              </w:rPr>
              <w:t>(</w:t>
            </w:r>
            <w:r>
              <w:rPr>
                <w:color w:val="FF0000"/>
                <w:lang w:val="en-GB"/>
              </w:rPr>
              <w:t>+7.1%↑</w:t>
            </w:r>
            <w:r>
              <w:rPr>
                <w:lang w:val="en-GB"/>
              </w:rPr>
              <w:t>)</w:t>
            </w:r>
          </w:p>
        </w:tc>
        <w:tc>
          <w:tcPr>
            <w:tcW w:w="1701" w:type="dxa"/>
          </w:tcPr>
          <w:p>
            <w:pPr>
              <w:spacing w:before="120" w:beforeLines="50" w:after="120"/>
              <w:jc w:val="center"/>
              <w:textAlignment w:val="center"/>
              <w:rPr>
                <w:lang w:val="en-GB"/>
              </w:rPr>
            </w:pPr>
            <w:r>
              <w:rPr>
                <w:lang w:val="en-GB"/>
              </w:rPr>
              <w:t>183.05</w:t>
            </w:r>
          </w:p>
          <w:p>
            <w:pPr>
              <w:spacing w:before="120" w:beforeLines="50" w:after="120"/>
              <w:jc w:val="center"/>
              <w:textAlignment w:val="center"/>
              <w:rPr>
                <w:lang w:val="en-GB"/>
              </w:rPr>
            </w:pPr>
            <w:r>
              <w:rPr>
                <w:lang w:val="en-GB"/>
              </w:rPr>
              <w:t>(</w:t>
            </w:r>
            <w:r>
              <w:rPr>
                <w:color w:val="FF0000"/>
                <w:lang w:val="en-GB"/>
              </w:rPr>
              <w:t>+3.7%↑</w:t>
            </w:r>
            <w:r>
              <w:rPr>
                <w:lang w:val="en-GB"/>
              </w:rPr>
              <w:t>)</w:t>
            </w:r>
          </w:p>
        </w:tc>
      </w:tr>
    </w:tbl>
    <w:p>
      <w:pPr>
        <w:snapToGrid w:val="0"/>
        <w:spacing w:before="120" w:after="120"/>
        <w:jc w:val="center"/>
        <w:rPr>
          <w:rFonts w:eastAsia="微软雅黑"/>
          <w:lang w:val="en-GB"/>
        </w:rPr>
      </w:pPr>
      <w:r>
        <w:rPr>
          <w:rFonts w:eastAsia="微软雅黑"/>
          <w:b/>
          <w:lang w:val="en-GB"/>
        </w:rPr>
        <w:t>Table 3</w:t>
      </w:r>
      <w:r>
        <w:rPr>
          <w:rFonts w:hint="eastAsia" w:eastAsia="微软雅黑"/>
          <w:lang w:val="en-GB"/>
        </w:rPr>
        <w:tab/>
      </w:r>
      <w:r>
        <w:rPr>
          <w:rFonts w:eastAsia="微软雅黑"/>
          <w:lang w:val="en-GB"/>
        </w:rPr>
        <w:t>SLS for Option 1 (panel specific reporting)</w:t>
      </w:r>
      <w:r>
        <w:rPr>
          <w:rFonts w:hint="eastAsia" w:eastAsia="微软雅黑"/>
          <w:lang w:val="en-GB"/>
        </w:rPr>
        <w:t xml:space="preserve"> with </w:t>
      </w:r>
      <w:r>
        <w:rPr>
          <w:rFonts w:hint="eastAsia" w:eastAsia="微软雅黑"/>
          <w:b/>
          <w:i/>
          <w:lang w:val="en-GB"/>
        </w:rPr>
        <w:t xml:space="preserve">M beams per group to be reported and </w:t>
      </w:r>
      <w:r>
        <w:rPr>
          <w:rFonts w:eastAsia="微软雅黑"/>
          <w:b/>
          <w:i/>
          <w:lang w:val="en-GB"/>
        </w:rPr>
        <w:t>N groups</w:t>
      </w:r>
      <w:r>
        <w:rPr>
          <w:rFonts w:eastAsia="微软雅黑"/>
          <w:lang w:val="en-GB"/>
        </w:rPr>
        <w:t xml:space="preserve"> in dense urban</w:t>
      </w:r>
    </w:p>
    <w:tbl>
      <w:tblPr>
        <w:tblStyle w:val="25"/>
        <w:tblW w:w="9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119"/>
        <w:gridCol w:w="1554"/>
        <w:gridCol w:w="1559"/>
        <w:gridCol w:w="1701"/>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beforeLines="50" w:after="120"/>
              <w:jc w:val="center"/>
              <w:textAlignment w:val="center"/>
              <w:rPr>
                <w:lang w:val="en-GB"/>
              </w:rPr>
            </w:pPr>
            <w:r>
              <w:rPr>
                <w:rFonts w:hint="eastAsia"/>
                <w:lang w:val="en-GB"/>
              </w:rPr>
              <w:t>U</w:t>
            </w:r>
            <w:r>
              <w:rPr>
                <w:lang w:val="en-GB"/>
              </w:rPr>
              <w:t>PT (Mbps)</w:t>
            </w:r>
          </w:p>
        </w:tc>
        <w:tc>
          <w:tcPr>
            <w:tcW w:w="1554" w:type="dxa"/>
          </w:tcPr>
          <w:p>
            <w:pPr>
              <w:spacing w:before="120" w:beforeLines="50" w:after="120"/>
              <w:jc w:val="center"/>
              <w:textAlignment w:val="center"/>
              <w:rPr>
                <w:lang w:val="en-GB"/>
              </w:rPr>
            </w:pPr>
            <w:r>
              <w:rPr>
                <w:lang w:val="en-GB"/>
              </w:rPr>
              <w:t xml:space="preserve"> mean</w:t>
            </w:r>
          </w:p>
        </w:tc>
        <w:tc>
          <w:tcPr>
            <w:tcW w:w="1559" w:type="dxa"/>
          </w:tcPr>
          <w:p>
            <w:pPr>
              <w:spacing w:before="120" w:beforeLines="50" w:after="120"/>
              <w:jc w:val="center"/>
              <w:textAlignment w:val="center"/>
              <w:rPr>
                <w:lang w:val="en-GB"/>
              </w:rPr>
            </w:pPr>
            <w:r>
              <w:rPr>
                <w:lang w:val="en-GB"/>
              </w:rPr>
              <w:t>5%-ile</w:t>
            </w:r>
          </w:p>
        </w:tc>
        <w:tc>
          <w:tcPr>
            <w:tcW w:w="1701" w:type="dxa"/>
          </w:tcPr>
          <w:p>
            <w:pPr>
              <w:spacing w:before="120" w:beforeLines="50" w:after="120"/>
              <w:jc w:val="center"/>
              <w:textAlignment w:val="center"/>
              <w:rPr>
                <w:lang w:val="en-GB"/>
              </w:rPr>
            </w:pPr>
            <w:r>
              <w:rPr>
                <w:lang w:val="en-GB"/>
              </w:rPr>
              <w:t>50%-ile</w:t>
            </w:r>
          </w:p>
        </w:tc>
        <w:tc>
          <w:tcPr>
            <w:tcW w:w="1701" w:type="dxa"/>
          </w:tcPr>
          <w:p>
            <w:pPr>
              <w:spacing w:before="120" w:beforeLines="50" w:after="120"/>
              <w:jc w:val="center"/>
              <w:textAlignment w:val="center"/>
              <w:rPr>
                <w:lang w:val="en-GB"/>
              </w:rPr>
            </w:pPr>
            <w:r>
              <w:rPr>
                <w:lang w:val="en-GB"/>
              </w:rPr>
              <w:t>95%-ile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beforeLines="50" w:after="120"/>
              <w:jc w:val="center"/>
              <w:textAlignment w:val="center"/>
              <w:rPr>
                <w:lang w:val="en-GB"/>
              </w:rPr>
            </w:pPr>
            <w:r>
              <w:rPr>
                <w:lang w:val="en-GB"/>
              </w:rPr>
              <w:t>(</w:t>
            </w:r>
            <w:r>
              <w:rPr>
                <w:rFonts w:hint="eastAsia"/>
                <w:lang w:val="en-GB"/>
              </w:rPr>
              <w:t>N = 2 group</w:t>
            </w:r>
            <w:r>
              <w:rPr>
                <w:lang w:val="en-GB"/>
              </w:rPr>
              <w:t xml:space="preserve">, </w:t>
            </w:r>
            <w:r>
              <w:rPr>
                <w:rFonts w:hint="eastAsia"/>
                <w:lang w:val="en-GB"/>
              </w:rPr>
              <w:t xml:space="preserve">M = </w:t>
            </w:r>
            <w:r>
              <w:rPr>
                <w:lang w:val="en-GB"/>
              </w:rPr>
              <w:t>1</w:t>
            </w:r>
            <w:r>
              <w:rPr>
                <w:rFonts w:hint="eastAsia"/>
                <w:lang w:val="en-GB"/>
              </w:rPr>
              <w:t xml:space="preserve"> beam</w:t>
            </w:r>
            <w:r>
              <w:rPr>
                <w:lang w:val="en-GB"/>
              </w:rPr>
              <w:t>)</w:t>
            </w:r>
          </w:p>
          <w:p>
            <w:pPr>
              <w:spacing w:before="120" w:beforeLines="50" w:after="120"/>
              <w:jc w:val="center"/>
              <w:textAlignment w:val="center"/>
              <w:rPr>
                <w:lang w:val="en-GB"/>
              </w:rPr>
            </w:pPr>
            <w:r>
              <w:rPr>
                <w:lang w:val="en-GB"/>
              </w:rPr>
              <w:t>i.e., Rel-15 group reporting</w:t>
            </w:r>
          </w:p>
        </w:tc>
        <w:tc>
          <w:tcPr>
            <w:tcW w:w="1554" w:type="dxa"/>
          </w:tcPr>
          <w:p>
            <w:pPr>
              <w:spacing w:before="120" w:beforeLines="50" w:after="120"/>
              <w:jc w:val="center"/>
              <w:textAlignment w:val="center"/>
              <w:rPr>
                <w:lang w:val="en-GB"/>
              </w:rPr>
            </w:pPr>
            <w:r>
              <w:rPr>
                <w:lang w:val="en-GB"/>
              </w:rPr>
              <w:t>83.42</w:t>
            </w:r>
          </w:p>
          <w:p>
            <w:pPr>
              <w:spacing w:before="120" w:beforeLines="50" w:after="120"/>
              <w:jc w:val="center"/>
              <w:textAlignment w:val="center"/>
              <w:rPr>
                <w:lang w:val="en-GB"/>
              </w:rPr>
            </w:pPr>
            <w:r>
              <w:rPr>
                <w:rFonts w:hint="eastAsia"/>
                <w:lang w:val="en-GB"/>
              </w:rPr>
              <w:t>(</w:t>
            </w:r>
            <w:r>
              <w:rPr>
                <w:lang w:val="en-GB"/>
              </w:rPr>
              <w:t>100%</w:t>
            </w:r>
            <w:r>
              <w:rPr>
                <w:rFonts w:hint="eastAsia"/>
                <w:lang w:val="en-GB"/>
              </w:rPr>
              <w:t>)</w:t>
            </w:r>
          </w:p>
        </w:tc>
        <w:tc>
          <w:tcPr>
            <w:tcW w:w="1559" w:type="dxa"/>
          </w:tcPr>
          <w:p>
            <w:pPr>
              <w:spacing w:before="120" w:beforeLines="50" w:after="120"/>
              <w:jc w:val="center"/>
              <w:textAlignment w:val="center"/>
              <w:rPr>
                <w:lang w:val="en-GB"/>
              </w:rPr>
            </w:pPr>
            <w:r>
              <w:rPr>
                <w:lang w:val="en-GB"/>
              </w:rPr>
              <w:t>13.47</w:t>
            </w:r>
          </w:p>
          <w:p>
            <w:pPr>
              <w:spacing w:before="120" w:beforeLines="50" w:after="120"/>
              <w:jc w:val="center"/>
              <w:textAlignment w:val="center"/>
              <w:rPr>
                <w:lang w:val="en-GB"/>
              </w:rPr>
            </w:pPr>
            <w:r>
              <w:rPr>
                <w:rFonts w:hint="eastAsia"/>
                <w:lang w:val="en-GB"/>
              </w:rPr>
              <w:t>(</w:t>
            </w:r>
            <w:r>
              <w:rPr>
                <w:lang w:val="en-GB"/>
              </w:rPr>
              <w:t>100%</w:t>
            </w:r>
            <w:r>
              <w:rPr>
                <w:rFonts w:hint="eastAsia"/>
                <w:lang w:val="en-GB"/>
              </w:rPr>
              <w:t>)</w:t>
            </w:r>
          </w:p>
        </w:tc>
        <w:tc>
          <w:tcPr>
            <w:tcW w:w="1701" w:type="dxa"/>
          </w:tcPr>
          <w:p>
            <w:pPr>
              <w:spacing w:before="120" w:beforeLines="50" w:after="120"/>
              <w:jc w:val="center"/>
              <w:textAlignment w:val="center"/>
              <w:rPr>
                <w:lang w:val="en-GB"/>
              </w:rPr>
            </w:pPr>
            <w:r>
              <w:rPr>
                <w:rFonts w:hint="eastAsia"/>
                <w:lang w:val="en-GB"/>
              </w:rPr>
              <w:t>7</w:t>
            </w:r>
            <w:r>
              <w:rPr>
                <w:lang w:val="en-GB"/>
              </w:rPr>
              <w:t>7.65</w:t>
            </w:r>
          </w:p>
          <w:p>
            <w:pPr>
              <w:spacing w:before="120" w:beforeLines="50" w:after="120"/>
              <w:jc w:val="center"/>
              <w:textAlignment w:val="center"/>
              <w:rPr>
                <w:lang w:val="en-GB"/>
              </w:rPr>
            </w:pPr>
            <w:r>
              <w:rPr>
                <w:rFonts w:hint="eastAsia"/>
                <w:lang w:val="en-GB"/>
              </w:rPr>
              <w:t>(</w:t>
            </w:r>
            <w:r>
              <w:rPr>
                <w:lang w:val="en-GB"/>
              </w:rPr>
              <w:t>100%</w:t>
            </w:r>
            <w:r>
              <w:rPr>
                <w:rFonts w:hint="eastAsia"/>
                <w:lang w:val="en-GB"/>
              </w:rPr>
              <w:t>)</w:t>
            </w:r>
          </w:p>
        </w:tc>
        <w:tc>
          <w:tcPr>
            <w:tcW w:w="1701" w:type="dxa"/>
          </w:tcPr>
          <w:p>
            <w:pPr>
              <w:spacing w:before="120" w:beforeLines="50" w:after="120"/>
              <w:jc w:val="center"/>
              <w:textAlignment w:val="center"/>
              <w:rPr>
                <w:lang w:val="en-GB"/>
              </w:rPr>
            </w:pPr>
            <w:r>
              <w:rPr>
                <w:lang w:val="en-GB"/>
              </w:rPr>
              <w:t>165.66</w:t>
            </w:r>
          </w:p>
          <w:p>
            <w:pPr>
              <w:spacing w:before="120" w:beforeLines="50" w:after="120"/>
              <w:jc w:val="center"/>
              <w:textAlignment w:val="center"/>
              <w:rPr>
                <w:lang w:val="en-GB"/>
              </w:rPr>
            </w:pPr>
            <w:r>
              <w:rPr>
                <w:rFonts w:hint="eastAsia"/>
                <w:lang w:val="en-GB"/>
              </w:rPr>
              <w:t>(</w:t>
            </w:r>
            <w:r>
              <w:rPr>
                <w:lang w:val="en-GB"/>
              </w:rPr>
              <w:t>100%</w:t>
            </w:r>
            <w:r>
              <w:rPr>
                <w:rFonts w:hint="eastAsia"/>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beforeLines="50" w:after="120"/>
              <w:jc w:val="center"/>
              <w:textAlignment w:val="center"/>
              <w:rPr>
                <w:lang w:val="en-GB"/>
              </w:rPr>
            </w:pPr>
            <w:r>
              <w:rPr>
                <w:lang w:val="en-GB"/>
              </w:rPr>
              <w:t>(</w:t>
            </w:r>
            <w:r>
              <w:rPr>
                <w:rFonts w:hint="eastAsia"/>
                <w:lang w:val="en-GB"/>
              </w:rPr>
              <w:t>N = 2 group</w:t>
            </w:r>
            <w:r>
              <w:rPr>
                <w:lang w:val="en-GB"/>
              </w:rPr>
              <w:t xml:space="preserve">, </w:t>
            </w:r>
            <w:r>
              <w:rPr>
                <w:rFonts w:hint="eastAsia"/>
                <w:lang w:val="en-GB"/>
              </w:rPr>
              <w:t xml:space="preserve">M = </w:t>
            </w:r>
            <w:r>
              <w:rPr>
                <w:lang w:val="en-GB"/>
              </w:rPr>
              <w:t>2</w:t>
            </w:r>
            <w:r>
              <w:rPr>
                <w:rFonts w:hint="eastAsia"/>
                <w:lang w:val="en-GB"/>
              </w:rPr>
              <w:t xml:space="preserve"> beam</w:t>
            </w:r>
            <w:r>
              <w:rPr>
                <w:lang w:val="en-GB"/>
              </w:rPr>
              <w:t>s)</w:t>
            </w:r>
          </w:p>
        </w:tc>
        <w:tc>
          <w:tcPr>
            <w:tcW w:w="1554" w:type="dxa"/>
          </w:tcPr>
          <w:p>
            <w:pPr>
              <w:spacing w:before="120" w:beforeLines="50" w:after="120"/>
              <w:jc w:val="center"/>
              <w:textAlignment w:val="center"/>
              <w:rPr>
                <w:lang w:val="en-GB"/>
              </w:rPr>
            </w:pPr>
            <w:r>
              <w:rPr>
                <w:lang w:val="en-GB"/>
              </w:rPr>
              <w:t>86.19</w:t>
            </w:r>
          </w:p>
          <w:p>
            <w:pPr>
              <w:spacing w:before="120" w:beforeLines="50" w:after="120"/>
              <w:jc w:val="center"/>
              <w:textAlignment w:val="center"/>
              <w:rPr>
                <w:lang w:val="en-GB"/>
              </w:rPr>
            </w:pPr>
            <w:r>
              <w:rPr>
                <w:lang w:val="en-GB"/>
              </w:rPr>
              <w:t>(</w:t>
            </w:r>
            <w:r>
              <w:rPr>
                <w:color w:val="FF0000"/>
                <w:lang w:val="en-GB"/>
              </w:rPr>
              <w:t>+3</w:t>
            </w:r>
            <w:r>
              <w:rPr>
                <w:rFonts w:hint="eastAsia"/>
                <w:color w:val="FF0000"/>
                <w:lang w:val="en-GB"/>
              </w:rPr>
              <w:t>.</w:t>
            </w:r>
            <w:r>
              <w:rPr>
                <w:color w:val="FF0000"/>
                <w:lang w:val="en-GB"/>
              </w:rPr>
              <w:t>3%↑</w:t>
            </w:r>
            <w:r>
              <w:rPr>
                <w:lang w:val="en-GB"/>
              </w:rPr>
              <w:t>)</w:t>
            </w:r>
          </w:p>
        </w:tc>
        <w:tc>
          <w:tcPr>
            <w:tcW w:w="1559" w:type="dxa"/>
          </w:tcPr>
          <w:p>
            <w:pPr>
              <w:spacing w:before="120" w:beforeLines="50" w:after="120"/>
              <w:jc w:val="center"/>
              <w:textAlignment w:val="center"/>
              <w:rPr>
                <w:lang w:val="en-GB"/>
              </w:rPr>
            </w:pPr>
            <w:r>
              <w:rPr>
                <w:lang w:val="en-GB"/>
              </w:rPr>
              <w:t>15.15</w:t>
            </w:r>
          </w:p>
          <w:p>
            <w:pPr>
              <w:spacing w:before="120" w:beforeLines="50" w:after="120"/>
              <w:jc w:val="center"/>
              <w:textAlignment w:val="center"/>
              <w:rPr>
                <w:lang w:val="en-GB"/>
              </w:rPr>
            </w:pPr>
            <w:r>
              <w:rPr>
                <w:lang w:val="en-GB"/>
              </w:rPr>
              <w:t>(</w:t>
            </w:r>
            <w:r>
              <w:rPr>
                <w:color w:val="FF0000"/>
                <w:lang w:val="en-GB"/>
              </w:rPr>
              <w:t>+12.5%↑</w:t>
            </w:r>
            <w:r>
              <w:rPr>
                <w:lang w:val="en-GB"/>
              </w:rPr>
              <w:t>)</w:t>
            </w:r>
          </w:p>
        </w:tc>
        <w:tc>
          <w:tcPr>
            <w:tcW w:w="1701" w:type="dxa"/>
          </w:tcPr>
          <w:p>
            <w:pPr>
              <w:spacing w:before="120" w:beforeLines="50" w:after="120"/>
              <w:jc w:val="center"/>
              <w:textAlignment w:val="center"/>
              <w:rPr>
                <w:lang w:val="en-GB"/>
              </w:rPr>
            </w:pPr>
            <w:r>
              <w:rPr>
                <w:lang w:val="en-GB"/>
              </w:rPr>
              <w:t>80.86</w:t>
            </w:r>
          </w:p>
          <w:p>
            <w:pPr>
              <w:spacing w:before="120" w:beforeLines="50" w:after="120"/>
              <w:jc w:val="center"/>
              <w:textAlignment w:val="center"/>
              <w:rPr>
                <w:lang w:val="en-GB"/>
              </w:rPr>
            </w:pPr>
            <w:r>
              <w:rPr>
                <w:lang w:val="en-GB"/>
              </w:rPr>
              <w:t>(</w:t>
            </w:r>
            <w:r>
              <w:rPr>
                <w:color w:val="FF0000"/>
                <w:lang w:val="en-GB"/>
              </w:rPr>
              <w:t>+4.1%↑</w:t>
            </w:r>
            <w:r>
              <w:rPr>
                <w:lang w:val="en-GB"/>
              </w:rPr>
              <w:t>)</w:t>
            </w:r>
          </w:p>
        </w:tc>
        <w:tc>
          <w:tcPr>
            <w:tcW w:w="1701" w:type="dxa"/>
          </w:tcPr>
          <w:p>
            <w:pPr>
              <w:spacing w:before="120" w:beforeLines="50" w:after="120"/>
              <w:jc w:val="center"/>
              <w:textAlignment w:val="center"/>
              <w:rPr>
                <w:lang w:val="en-GB"/>
              </w:rPr>
            </w:pPr>
            <w:r>
              <w:rPr>
                <w:lang w:val="en-GB"/>
              </w:rPr>
              <w:t>170.71</w:t>
            </w:r>
          </w:p>
          <w:p>
            <w:pPr>
              <w:spacing w:before="120" w:beforeLines="50" w:after="120"/>
              <w:jc w:val="center"/>
              <w:textAlignment w:val="center"/>
              <w:rPr>
                <w:lang w:val="en-GB"/>
              </w:rPr>
            </w:pPr>
            <w:r>
              <w:rPr>
                <w:lang w:val="en-GB"/>
              </w:rPr>
              <w:t>(</w:t>
            </w:r>
            <w:r>
              <w:rPr>
                <w:color w:val="FF0000"/>
                <w:lang w:val="en-GB"/>
              </w:rPr>
              <w:t>+3.0%↑</w:t>
            </w:r>
            <w:r>
              <w:rPr>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beforeLines="50" w:after="120"/>
              <w:jc w:val="center"/>
              <w:textAlignment w:val="center"/>
              <w:rPr>
                <w:lang w:val="en-GB"/>
              </w:rPr>
            </w:pPr>
            <w:r>
              <w:rPr>
                <w:lang w:val="en-GB"/>
              </w:rPr>
              <w:t>(</w:t>
            </w:r>
            <w:r>
              <w:rPr>
                <w:rFonts w:hint="eastAsia"/>
                <w:lang w:val="en-GB"/>
              </w:rPr>
              <w:t>N = 2 group</w:t>
            </w:r>
            <w:r>
              <w:rPr>
                <w:lang w:val="en-GB"/>
              </w:rPr>
              <w:t xml:space="preserve">, </w:t>
            </w:r>
            <w:r>
              <w:rPr>
                <w:rFonts w:hint="eastAsia"/>
                <w:lang w:val="en-GB"/>
              </w:rPr>
              <w:t xml:space="preserve">M = </w:t>
            </w:r>
            <w:r>
              <w:rPr>
                <w:lang w:val="en-GB"/>
              </w:rPr>
              <w:t>4</w:t>
            </w:r>
            <w:r>
              <w:rPr>
                <w:rFonts w:hint="eastAsia"/>
                <w:lang w:val="en-GB"/>
              </w:rPr>
              <w:t xml:space="preserve"> beam</w:t>
            </w:r>
            <w:r>
              <w:rPr>
                <w:lang w:val="en-GB"/>
              </w:rPr>
              <w:t>s)</w:t>
            </w:r>
          </w:p>
        </w:tc>
        <w:tc>
          <w:tcPr>
            <w:tcW w:w="1554" w:type="dxa"/>
          </w:tcPr>
          <w:p>
            <w:pPr>
              <w:spacing w:before="120" w:beforeLines="50" w:after="120"/>
              <w:jc w:val="center"/>
              <w:textAlignment w:val="center"/>
              <w:rPr>
                <w:lang w:val="en-GB"/>
              </w:rPr>
            </w:pPr>
            <w:r>
              <w:rPr>
                <w:lang w:val="en-GB"/>
              </w:rPr>
              <w:t>88.09</w:t>
            </w:r>
          </w:p>
          <w:p>
            <w:pPr>
              <w:spacing w:before="120" w:beforeLines="50" w:after="120"/>
              <w:jc w:val="center"/>
              <w:textAlignment w:val="center"/>
              <w:rPr>
                <w:lang w:val="en-GB"/>
              </w:rPr>
            </w:pPr>
            <w:r>
              <w:rPr>
                <w:lang w:val="en-GB"/>
              </w:rPr>
              <w:t>(</w:t>
            </w:r>
            <w:r>
              <w:rPr>
                <w:color w:val="FF0000"/>
                <w:lang w:val="en-GB"/>
              </w:rPr>
              <w:t>+5</w:t>
            </w:r>
            <w:r>
              <w:rPr>
                <w:rFonts w:hint="eastAsia"/>
                <w:color w:val="FF0000"/>
                <w:lang w:val="en-GB"/>
              </w:rPr>
              <w:t>.</w:t>
            </w:r>
            <w:r>
              <w:rPr>
                <w:color w:val="FF0000"/>
                <w:lang w:val="en-GB"/>
              </w:rPr>
              <w:t>6%↑</w:t>
            </w:r>
            <w:r>
              <w:rPr>
                <w:lang w:val="en-GB"/>
              </w:rPr>
              <w:t>)</w:t>
            </w:r>
          </w:p>
        </w:tc>
        <w:tc>
          <w:tcPr>
            <w:tcW w:w="1559" w:type="dxa"/>
          </w:tcPr>
          <w:p>
            <w:pPr>
              <w:spacing w:before="120" w:beforeLines="50" w:after="120"/>
              <w:jc w:val="center"/>
              <w:textAlignment w:val="center"/>
              <w:rPr>
                <w:lang w:val="en-GB"/>
              </w:rPr>
            </w:pPr>
            <w:r>
              <w:rPr>
                <w:lang w:val="en-GB"/>
              </w:rPr>
              <w:t>18.42</w:t>
            </w:r>
          </w:p>
          <w:p>
            <w:pPr>
              <w:spacing w:before="120" w:beforeLines="50" w:after="120"/>
              <w:jc w:val="center"/>
              <w:textAlignment w:val="center"/>
              <w:rPr>
                <w:lang w:val="en-GB"/>
              </w:rPr>
            </w:pPr>
            <w:r>
              <w:rPr>
                <w:lang w:val="en-GB"/>
              </w:rPr>
              <w:t>(</w:t>
            </w:r>
            <w:r>
              <w:rPr>
                <w:color w:val="FF0000"/>
                <w:lang w:val="en-GB"/>
              </w:rPr>
              <w:t>+36.8%↑</w:t>
            </w:r>
            <w:r>
              <w:rPr>
                <w:lang w:val="en-GB"/>
              </w:rPr>
              <w:t>)</w:t>
            </w:r>
          </w:p>
        </w:tc>
        <w:tc>
          <w:tcPr>
            <w:tcW w:w="1701" w:type="dxa"/>
          </w:tcPr>
          <w:p>
            <w:pPr>
              <w:spacing w:before="120" w:beforeLines="50" w:after="120"/>
              <w:jc w:val="center"/>
              <w:textAlignment w:val="center"/>
              <w:rPr>
                <w:lang w:val="en-GB"/>
              </w:rPr>
            </w:pPr>
            <w:r>
              <w:rPr>
                <w:lang w:val="en-GB"/>
              </w:rPr>
              <w:t>81.40</w:t>
            </w:r>
          </w:p>
          <w:p>
            <w:pPr>
              <w:spacing w:before="120" w:beforeLines="50" w:after="120"/>
              <w:jc w:val="center"/>
              <w:textAlignment w:val="center"/>
              <w:rPr>
                <w:lang w:val="en-GB"/>
              </w:rPr>
            </w:pPr>
            <w:r>
              <w:rPr>
                <w:lang w:val="en-GB"/>
              </w:rPr>
              <w:t>(</w:t>
            </w:r>
            <w:r>
              <w:rPr>
                <w:color w:val="FF0000"/>
                <w:lang w:val="en-GB"/>
              </w:rPr>
              <w:t>+4.8%↑</w:t>
            </w:r>
            <w:r>
              <w:rPr>
                <w:lang w:val="en-GB"/>
              </w:rPr>
              <w:t>)</w:t>
            </w:r>
          </w:p>
        </w:tc>
        <w:tc>
          <w:tcPr>
            <w:tcW w:w="1701" w:type="dxa"/>
          </w:tcPr>
          <w:p>
            <w:pPr>
              <w:spacing w:before="120" w:beforeLines="50" w:after="120"/>
              <w:jc w:val="center"/>
              <w:textAlignment w:val="center"/>
              <w:rPr>
                <w:lang w:val="en-GB"/>
              </w:rPr>
            </w:pPr>
            <w:r>
              <w:rPr>
                <w:lang w:val="en-GB"/>
              </w:rPr>
              <w:t>170.07</w:t>
            </w:r>
          </w:p>
          <w:p>
            <w:pPr>
              <w:spacing w:before="120" w:beforeLines="50" w:after="120"/>
              <w:jc w:val="center"/>
              <w:textAlignment w:val="center"/>
              <w:rPr>
                <w:lang w:val="en-GB"/>
              </w:rPr>
            </w:pPr>
            <w:r>
              <w:rPr>
                <w:lang w:val="en-GB"/>
              </w:rPr>
              <w:t>(</w:t>
            </w:r>
            <w:r>
              <w:rPr>
                <w:color w:val="FF0000"/>
                <w:lang w:val="en-GB"/>
              </w:rPr>
              <w:t>+2.7%↑</w:t>
            </w:r>
            <w:r>
              <w:rPr>
                <w:lang w:val="en-GB"/>
              </w:rPr>
              <w:t>)</w:t>
            </w:r>
          </w:p>
        </w:tc>
      </w:tr>
    </w:tbl>
    <w:p>
      <w:pPr>
        <w:overflowPunct w:val="0"/>
        <w:autoSpaceDE w:val="0"/>
        <w:autoSpaceDN w:val="0"/>
        <w:adjustRightInd w:val="0"/>
        <w:spacing w:before="120" w:beforeLines="50" w:after="120" w:line="300" w:lineRule="auto"/>
        <w:textAlignment w:val="baseline"/>
        <w:rPr>
          <w:rFonts w:eastAsia="微软雅黑"/>
        </w:rPr>
      </w:pPr>
      <w:r>
        <w:rPr>
          <w:rFonts w:eastAsia="微软雅黑"/>
        </w:rPr>
        <w:t>Besides, up to 2 groups (e.g., UE panels) in Rel-15 group reporting are also unsuitable for the enhanced UE in Rel-16. Three or four UE panels may be applied to a handheld device, e.g., mobile phone. Regarding EVM for multi-beam operation in Item-1 of this FeMIMO, evaluation assumption of 3 UE panels (left, right, and back) has also been agreed for subsequent evaluation. That means that the number of groups N and the number of beams in a group M should also be enhanced, and it can be assumed as a starting point that N and M are up to 4, i.e., to consider up to 4 panels, and up to 4 candidate beams per UE panel (for Option 1), or up to 4 candidate beam groups for transmission (for Option 2)</w:t>
      </w:r>
    </w:p>
    <w:p>
      <w:pPr>
        <w:pStyle w:val="3"/>
        <w:spacing w:before="240" w:after="120"/>
        <w:ind w:left="709" w:hanging="709"/>
        <w:rPr>
          <w:lang w:val="en-US"/>
        </w:rPr>
      </w:pPr>
      <w:r>
        <w:rPr>
          <w:lang w:val="en-US"/>
        </w:rPr>
        <w:t>Evaluation results for Option 2 beam group based reporting</w:t>
      </w:r>
    </w:p>
    <w:p>
      <w:pPr>
        <w:snapToGrid w:val="0"/>
        <w:spacing w:before="120" w:after="120"/>
      </w:pPr>
      <w:r>
        <w:rPr>
          <w:rFonts w:hint="eastAsia"/>
        </w:rPr>
        <w:t xml:space="preserve">In this section, we </w:t>
      </w:r>
      <w:r>
        <w:t>evaluate</w:t>
      </w:r>
      <w:r>
        <w:rPr>
          <w:rFonts w:hint="eastAsia"/>
        </w:rPr>
        <w:t xml:space="preserve"> spectral efficiency (SE) </w:t>
      </w:r>
      <w:r>
        <w:t xml:space="preserve">through LLS as the function of number of beam groups or number of groups </w:t>
      </w:r>
      <w:r>
        <w:rPr>
          <w:b/>
        </w:rPr>
        <w:t>in case of blockage</w:t>
      </w:r>
      <w:r>
        <w:t xml:space="preserve"> for Option 2 beam group based reporting. The detailed evaluation assumption is shown in Table 5. Herein we evaluate the performance which </w:t>
      </w:r>
      <w:r>
        <w:rPr>
          <w:rFonts w:hint="eastAsia"/>
        </w:rPr>
        <w:t>is</w:t>
      </w:r>
      <w:r>
        <w:t xml:space="preserve"> shown in Table </w:t>
      </w:r>
      <w:r>
        <w:rPr>
          <w:rFonts w:hint="eastAsia"/>
        </w:rPr>
        <w:t>4</w:t>
      </w:r>
      <w:r>
        <w:t>.</w:t>
      </w:r>
    </w:p>
    <w:p>
      <w:pPr>
        <w:snapToGrid w:val="0"/>
        <w:spacing w:before="120" w:after="120"/>
        <w:jc w:val="center"/>
        <w:rPr>
          <w:lang w:val="en-GB"/>
        </w:rPr>
      </w:pPr>
      <w:r>
        <w:rPr>
          <w:b/>
        </w:rPr>
        <w:t xml:space="preserve">Table </w:t>
      </w:r>
      <w:r>
        <w:rPr>
          <w:rFonts w:hint="eastAsia"/>
          <w:b/>
        </w:rPr>
        <w:t>4</w:t>
      </w:r>
      <w:r>
        <w:rPr>
          <w:rFonts w:hint="eastAsia"/>
        </w:rPr>
        <w:t xml:space="preserve"> </w:t>
      </w:r>
      <w:r>
        <w:rPr>
          <w:lang w:val="en-GB"/>
        </w:rPr>
        <w:t xml:space="preserve">Spectral efficiency under Option 2 beam group based reporting with </w:t>
      </w:r>
      <w:r>
        <w:rPr>
          <w:b/>
          <w:i/>
          <w:color w:val="000000"/>
        </w:rPr>
        <w:t xml:space="preserve">M beams per group to be reported </w:t>
      </w:r>
      <w:r>
        <w:rPr>
          <w:b/>
          <w:i/>
          <w:lang w:val="en-GB"/>
        </w:rPr>
        <w:t>and N groups in case of blockage</w:t>
      </w:r>
    </w:p>
    <w:tbl>
      <w:tblPr>
        <w:tblStyle w:val="25"/>
        <w:tblW w:w="943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5"/>
        <w:gridCol w:w="1440"/>
        <w:gridCol w:w="1417"/>
        <w:gridCol w:w="1418"/>
        <w:gridCol w:w="1417"/>
        <w:gridCol w:w="1418"/>
        <w:gridCol w:w="14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tcPr>
          <w:p>
            <w:pPr>
              <w:spacing w:before="120" w:after="120"/>
              <w:jc w:val="center"/>
              <w:textAlignment w:val="center"/>
              <w:rPr>
                <w:lang w:val="en-GB"/>
              </w:rPr>
            </w:pPr>
          </w:p>
        </w:tc>
        <w:tc>
          <w:tcPr>
            <w:tcW w:w="1440" w:type="dxa"/>
          </w:tcPr>
          <w:p>
            <w:pPr>
              <w:spacing w:before="120" w:after="120"/>
              <w:jc w:val="center"/>
              <w:textAlignment w:val="center"/>
              <w:rPr>
                <w:lang w:val="en-GB"/>
              </w:rPr>
            </w:pPr>
            <w:r>
              <w:rPr>
                <w:lang w:val="en-GB"/>
              </w:rPr>
              <w:t>N=1 group</w:t>
            </w:r>
          </w:p>
          <w:p>
            <w:pPr>
              <w:spacing w:before="120" w:after="120"/>
              <w:jc w:val="center"/>
              <w:textAlignment w:val="center"/>
              <w:rPr>
                <w:lang w:val="en-GB"/>
              </w:rPr>
            </w:pPr>
            <w:r>
              <w:rPr>
                <w:lang w:val="en-GB"/>
              </w:rPr>
              <w:t>M = 2 beams</w:t>
            </w:r>
          </w:p>
        </w:tc>
        <w:tc>
          <w:tcPr>
            <w:tcW w:w="1417" w:type="dxa"/>
          </w:tcPr>
          <w:p>
            <w:pPr>
              <w:spacing w:before="120" w:after="120"/>
              <w:jc w:val="center"/>
              <w:textAlignment w:val="center"/>
              <w:rPr>
                <w:lang w:val="en-GB"/>
              </w:rPr>
            </w:pPr>
            <w:r>
              <w:rPr>
                <w:lang w:val="en-GB"/>
              </w:rPr>
              <w:t>N = 1 group</w:t>
            </w:r>
          </w:p>
          <w:p>
            <w:pPr>
              <w:spacing w:before="120" w:after="120"/>
              <w:jc w:val="center"/>
              <w:textAlignment w:val="center"/>
              <w:rPr>
                <w:lang w:val="en-GB"/>
              </w:rPr>
            </w:pPr>
            <w:r>
              <w:rPr>
                <w:lang w:val="en-GB"/>
              </w:rPr>
              <w:t>M = 4 beams</w:t>
            </w:r>
          </w:p>
        </w:tc>
        <w:tc>
          <w:tcPr>
            <w:tcW w:w="1418" w:type="dxa"/>
          </w:tcPr>
          <w:p>
            <w:pPr>
              <w:spacing w:before="120" w:after="120"/>
              <w:jc w:val="center"/>
              <w:textAlignment w:val="center"/>
              <w:rPr>
                <w:lang w:val="en-GB"/>
              </w:rPr>
            </w:pPr>
            <w:r>
              <w:rPr>
                <w:lang w:val="en-GB"/>
              </w:rPr>
              <w:t>N = 1 group</w:t>
            </w:r>
          </w:p>
          <w:p>
            <w:pPr>
              <w:spacing w:before="120" w:after="120"/>
              <w:jc w:val="center"/>
              <w:textAlignment w:val="center"/>
              <w:rPr>
                <w:lang w:val="en-GB"/>
              </w:rPr>
            </w:pPr>
            <w:r>
              <w:rPr>
                <w:lang w:val="en-GB"/>
              </w:rPr>
              <w:t>M = 8 beams</w:t>
            </w:r>
          </w:p>
        </w:tc>
        <w:tc>
          <w:tcPr>
            <w:tcW w:w="1417" w:type="dxa"/>
          </w:tcPr>
          <w:p>
            <w:pPr>
              <w:spacing w:before="120" w:after="120"/>
              <w:jc w:val="center"/>
              <w:textAlignment w:val="center"/>
              <w:rPr>
                <w:lang w:val="en-GB"/>
              </w:rPr>
            </w:pPr>
            <w:r>
              <w:rPr>
                <w:lang w:val="en-GB"/>
              </w:rPr>
              <w:t>N = 2 group</w:t>
            </w:r>
          </w:p>
          <w:p>
            <w:pPr>
              <w:spacing w:before="120" w:after="120"/>
              <w:jc w:val="center"/>
              <w:textAlignment w:val="center"/>
              <w:rPr>
                <w:lang w:val="en-GB"/>
              </w:rPr>
            </w:pPr>
            <w:r>
              <w:rPr>
                <w:lang w:val="en-GB"/>
              </w:rPr>
              <w:t xml:space="preserve">M = 2 beams </w:t>
            </w:r>
          </w:p>
        </w:tc>
        <w:tc>
          <w:tcPr>
            <w:tcW w:w="1418" w:type="dxa"/>
          </w:tcPr>
          <w:p>
            <w:pPr>
              <w:spacing w:before="120" w:after="120"/>
              <w:jc w:val="center"/>
              <w:textAlignment w:val="center"/>
              <w:rPr>
                <w:lang w:val="en-GB"/>
              </w:rPr>
            </w:pPr>
            <w:r>
              <w:rPr>
                <w:lang w:val="en-GB"/>
              </w:rPr>
              <w:t>N = 4 group</w:t>
            </w:r>
          </w:p>
          <w:p>
            <w:pPr>
              <w:spacing w:before="120" w:after="120"/>
              <w:jc w:val="center"/>
              <w:textAlignment w:val="center"/>
              <w:rPr>
                <w:lang w:val="en-GB"/>
              </w:rPr>
            </w:pPr>
            <w:r>
              <w:rPr>
                <w:lang w:val="en-GB"/>
              </w:rPr>
              <w:t>M = 2 beams</w:t>
            </w:r>
          </w:p>
        </w:tc>
        <w:tc>
          <w:tcPr>
            <w:tcW w:w="1417" w:type="dxa"/>
          </w:tcPr>
          <w:p>
            <w:pPr>
              <w:spacing w:before="120" w:after="120"/>
              <w:jc w:val="center"/>
              <w:textAlignment w:val="center"/>
              <w:rPr>
                <w:lang w:val="en-GB"/>
              </w:rPr>
            </w:pPr>
            <w:r>
              <w:rPr>
                <w:lang w:val="en-GB"/>
              </w:rPr>
              <w:t>N = 8 group</w:t>
            </w:r>
          </w:p>
          <w:p>
            <w:pPr>
              <w:spacing w:before="120" w:after="120"/>
              <w:jc w:val="center"/>
              <w:textAlignment w:val="center"/>
              <w:rPr>
                <w:lang w:val="en-GB"/>
              </w:rPr>
            </w:pPr>
            <w:r>
              <w:rPr>
                <w:lang w:val="en-GB"/>
              </w:rPr>
              <w:t>M = 2 beams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tcPr>
          <w:p>
            <w:pPr>
              <w:spacing w:before="120" w:after="120"/>
              <w:jc w:val="center"/>
              <w:textAlignment w:val="center"/>
              <w:rPr>
                <w:lang w:val="en-GB"/>
              </w:rPr>
            </w:pPr>
            <w:r>
              <w:rPr>
                <w:lang w:val="en-GB"/>
              </w:rPr>
              <w:t>Outage</w:t>
            </w:r>
          </w:p>
        </w:tc>
        <w:tc>
          <w:tcPr>
            <w:tcW w:w="1440" w:type="dxa"/>
          </w:tcPr>
          <w:p>
            <w:pPr>
              <w:spacing w:before="120" w:after="120"/>
              <w:jc w:val="center"/>
              <w:textAlignment w:val="center"/>
              <w:rPr>
                <w:lang w:val="en-GB"/>
              </w:rPr>
            </w:pPr>
            <w:r>
              <w:rPr>
                <w:lang w:val="en-GB"/>
              </w:rPr>
              <w:t>11%</w:t>
            </w:r>
          </w:p>
          <w:p>
            <w:pPr>
              <w:spacing w:before="120" w:after="120"/>
              <w:jc w:val="center"/>
              <w:textAlignment w:val="center"/>
              <w:rPr>
                <w:lang w:val="en-GB"/>
              </w:rPr>
            </w:pPr>
            <w:r>
              <w:rPr>
                <w:color w:val="000000"/>
                <w:lang w:val="en-GB"/>
              </w:rPr>
              <w:t>(100%)</w:t>
            </w:r>
          </w:p>
        </w:tc>
        <w:tc>
          <w:tcPr>
            <w:tcW w:w="1417" w:type="dxa"/>
          </w:tcPr>
          <w:p>
            <w:pPr>
              <w:spacing w:before="120" w:after="120"/>
              <w:jc w:val="center"/>
              <w:textAlignment w:val="center"/>
              <w:rPr>
                <w:lang w:val="en-GB"/>
              </w:rPr>
            </w:pPr>
            <w:r>
              <w:rPr>
                <w:lang w:val="en-GB"/>
              </w:rPr>
              <w:t>6%</w:t>
            </w:r>
          </w:p>
          <w:p>
            <w:pPr>
              <w:spacing w:before="120" w:after="120"/>
              <w:jc w:val="center"/>
              <w:textAlignment w:val="center"/>
              <w:rPr>
                <w:lang w:val="en-GB"/>
              </w:rPr>
            </w:pPr>
            <w:r>
              <w:rPr>
                <w:lang w:val="en-GB"/>
              </w:rPr>
              <w:t>(</w:t>
            </w:r>
            <w:r>
              <w:rPr>
                <w:color w:val="00B050"/>
                <w:lang w:val="en-GB"/>
              </w:rPr>
              <w:t>-45.5%↓</w:t>
            </w:r>
            <w:r>
              <w:rPr>
                <w:lang w:val="en-GB"/>
              </w:rPr>
              <w:t>)</w:t>
            </w:r>
          </w:p>
        </w:tc>
        <w:tc>
          <w:tcPr>
            <w:tcW w:w="1418" w:type="dxa"/>
          </w:tcPr>
          <w:p>
            <w:pPr>
              <w:spacing w:before="120" w:after="120"/>
              <w:jc w:val="center"/>
              <w:textAlignment w:val="center"/>
              <w:rPr>
                <w:lang w:val="en-GB"/>
              </w:rPr>
            </w:pPr>
            <w:r>
              <w:rPr>
                <w:lang w:val="en-GB"/>
              </w:rPr>
              <w:t>2%</w:t>
            </w:r>
          </w:p>
          <w:p>
            <w:pPr>
              <w:spacing w:before="120" w:after="120"/>
              <w:jc w:val="center"/>
              <w:textAlignment w:val="center"/>
              <w:rPr>
                <w:lang w:val="en-GB"/>
              </w:rPr>
            </w:pPr>
            <w:r>
              <w:rPr>
                <w:lang w:val="en-GB"/>
              </w:rPr>
              <w:t>(</w:t>
            </w:r>
            <w:r>
              <w:rPr>
                <w:color w:val="00B050"/>
                <w:lang w:val="en-GB"/>
              </w:rPr>
              <w:t>-81.2%↓</w:t>
            </w:r>
            <w:r>
              <w:rPr>
                <w:lang w:val="en-GB"/>
              </w:rPr>
              <w:t>)</w:t>
            </w:r>
          </w:p>
        </w:tc>
        <w:tc>
          <w:tcPr>
            <w:tcW w:w="1417" w:type="dxa"/>
          </w:tcPr>
          <w:p>
            <w:pPr>
              <w:spacing w:before="120" w:after="120"/>
              <w:jc w:val="center"/>
              <w:textAlignment w:val="center"/>
              <w:rPr>
                <w:lang w:val="en-GB"/>
              </w:rPr>
            </w:pPr>
            <w:r>
              <w:rPr>
                <w:lang w:val="en-GB"/>
              </w:rPr>
              <w:t>3%</w:t>
            </w:r>
          </w:p>
          <w:p>
            <w:pPr>
              <w:spacing w:before="120" w:after="120"/>
              <w:jc w:val="center"/>
              <w:textAlignment w:val="center"/>
              <w:rPr>
                <w:lang w:val="en-GB"/>
              </w:rPr>
            </w:pPr>
            <w:r>
              <w:rPr>
                <w:lang w:val="en-GB"/>
              </w:rPr>
              <w:t>(</w:t>
            </w:r>
            <w:r>
              <w:rPr>
                <w:color w:val="00B050"/>
                <w:lang w:val="en-GB"/>
              </w:rPr>
              <w:t>-72.7%↓</w:t>
            </w:r>
            <w:r>
              <w:rPr>
                <w:lang w:val="en-GB"/>
              </w:rPr>
              <w:t>)</w:t>
            </w:r>
          </w:p>
        </w:tc>
        <w:tc>
          <w:tcPr>
            <w:tcW w:w="1418" w:type="dxa"/>
          </w:tcPr>
          <w:p>
            <w:pPr>
              <w:spacing w:before="120" w:after="120"/>
              <w:jc w:val="center"/>
              <w:textAlignment w:val="center"/>
              <w:rPr>
                <w:lang w:val="en-GB"/>
              </w:rPr>
            </w:pPr>
            <w:r>
              <w:rPr>
                <w:lang w:val="en-GB"/>
              </w:rPr>
              <w:t>1%</w:t>
            </w:r>
          </w:p>
          <w:p>
            <w:pPr>
              <w:spacing w:before="120" w:after="120"/>
              <w:jc w:val="center"/>
              <w:textAlignment w:val="center"/>
              <w:rPr>
                <w:lang w:val="en-GB"/>
              </w:rPr>
            </w:pPr>
            <w:r>
              <w:rPr>
                <w:lang w:val="en-GB"/>
              </w:rPr>
              <w:t>(</w:t>
            </w:r>
            <w:r>
              <w:rPr>
                <w:color w:val="00B050"/>
                <w:lang w:val="en-GB"/>
              </w:rPr>
              <w:t>-90.9%↓</w:t>
            </w:r>
            <w:r>
              <w:rPr>
                <w:lang w:val="en-GB"/>
              </w:rPr>
              <w:t>)</w:t>
            </w:r>
          </w:p>
        </w:tc>
        <w:tc>
          <w:tcPr>
            <w:tcW w:w="1417" w:type="dxa"/>
          </w:tcPr>
          <w:p>
            <w:pPr>
              <w:spacing w:before="120" w:after="120"/>
              <w:jc w:val="center"/>
              <w:textAlignment w:val="center"/>
              <w:rPr>
                <w:lang w:val="en-GB"/>
              </w:rPr>
            </w:pPr>
            <w:r>
              <w:rPr>
                <w:lang w:val="en-GB"/>
              </w:rPr>
              <w:t>0%</w:t>
            </w:r>
          </w:p>
          <w:p>
            <w:pPr>
              <w:spacing w:before="120" w:after="120"/>
              <w:jc w:val="center"/>
              <w:textAlignment w:val="center"/>
              <w:rPr>
                <w:lang w:val="en-GB"/>
              </w:rPr>
            </w:pPr>
            <w:r>
              <w:rPr>
                <w:lang w:val="en-GB"/>
              </w:rPr>
              <w:t>(</w:t>
            </w:r>
            <w:r>
              <w:rPr>
                <w:color w:val="00B050"/>
                <w:lang w:val="en-GB"/>
              </w:rPr>
              <w:t>-100%↓</w:t>
            </w:r>
            <w:r>
              <w:rPr>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tcPr>
          <w:p>
            <w:pPr>
              <w:spacing w:before="120" w:after="120"/>
              <w:jc w:val="center"/>
              <w:textAlignment w:val="center"/>
              <w:rPr>
                <w:lang w:val="en-GB"/>
              </w:rPr>
            </w:pPr>
            <w:r>
              <w:t>Average</w:t>
            </w:r>
          </w:p>
        </w:tc>
        <w:tc>
          <w:tcPr>
            <w:tcW w:w="1440" w:type="dxa"/>
          </w:tcPr>
          <w:p>
            <w:pPr>
              <w:spacing w:before="120" w:after="120"/>
              <w:jc w:val="center"/>
              <w:textAlignment w:val="center"/>
              <w:rPr>
                <w:lang w:val="en-GB"/>
              </w:rPr>
            </w:pPr>
            <w:r>
              <w:rPr>
                <w:lang w:val="en-GB"/>
              </w:rPr>
              <w:t xml:space="preserve">12.4313 </w:t>
            </w:r>
          </w:p>
          <w:p>
            <w:pPr>
              <w:spacing w:before="120" w:after="120"/>
              <w:jc w:val="center"/>
              <w:textAlignment w:val="center"/>
              <w:rPr>
                <w:color w:val="000000"/>
                <w:lang w:val="en-GB"/>
              </w:rPr>
            </w:pPr>
            <w:r>
              <w:rPr>
                <w:color w:val="000000"/>
                <w:lang w:val="en-GB"/>
              </w:rPr>
              <w:t>(100%)</w:t>
            </w:r>
          </w:p>
        </w:tc>
        <w:tc>
          <w:tcPr>
            <w:tcW w:w="1417" w:type="dxa"/>
          </w:tcPr>
          <w:p>
            <w:pPr>
              <w:spacing w:before="120" w:after="120"/>
              <w:jc w:val="center"/>
              <w:textAlignment w:val="center"/>
              <w:rPr>
                <w:lang w:val="en-GB"/>
              </w:rPr>
            </w:pPr>
            <w:r>
              <w:rPr>
                <w:lang w:val="en-GB"/>
              </w:rPr>
              <w:t>12.5315</w:t>
            </w:r>
          </w:p>
          <w:p>
            <w:pPr>
              <w:spacing w:before="120" w:after="120"/>
              <w:jc w:val="center"/>
              <w:textAlignment w:val="center"/>
              <w:rPr>
                <w:lang w:val="en-GB"/>
              </w:rPr>
            </w:pPr>
            <w:r>
              <w:rPr>
                <w:lang w:val="en-GB"/>
              </w:rPr>
              <w:t>(</w:t>
            </w:r>
            <w:r>
              <w:rPr>
                <w:color w:val="FF0000"/>
                <w:lang w:val="en-GB"/>
              </w:rPr>
              <w:t>+0.81%↑</w:t>
            </w:r>
            <w:r>
              <w:rPr>
                <w:lang w:val="en-GB"/>
              </w:rPr>
              <w:t>)</w:t>
            </w:r>
          </w:p>
        </w:tc>
        <w:tc>
          <w:tcPr>
            <w:tcW w:w="1418" w:type="dxa"/>
          </w:tcPr>
          <w:p>
            <w:pPr>
              <w:spacing w:before="120" w:after="120"/>
              <w:jc w:val="center"/>
              <w:textAlignment w:val="center"/>
              <w:rPr>
                <w:lang w:val="en-GB"/>
              </w:rPr>
            </w:pPr>
            <w:r>
              <w:rPr>
                <w:lang w:val="en-GB"/>
              </w:rPr>
              <w:t>12.7242</w:t>
            </w:r>
          </w:p>
          <w:p>
            <w:pPr>
              <w:spacing w:before="120" w:after="120"/>
              <w:jc w:val="center"/>
              <w:textAlignment w:val="center"/>
              <w:rPr>
                <w:lang w:val="en-GB"/>
              </w:rPr>
            </w:pPr>
            <w:r>
              <w:rPr>
                <w:lang w:val="en-GB"/>
              </w:rPr>
              <w:t>(</w:t>
            </w:r>
            <w:r>
              <w:rPr>
                <w:color w:val="FF0000"/>
                <w:lang w:val="en-GB"/>
              </w:rPr>
              <w:t>+2.36%↑</w:t>
            </w:r>
            <w:r>
              <w:rPr>
                <w:lang w:val="en-GB"/>
              </w:rPr>
              <w:t>)</w:t>
            </w:r>
          </w:p>
        </w:tc>
        <w:tc>
          <w:tcPr>
            <w:tcW w:w="1417" w:type="dxa"/>
          </w:tcPr>
          <w:p>
            <w:pPr>
              <w:spacing w:before="120" w:after="120"/>
              <w:jc w:val="center"/>
              <w:textAlignment w:val="center"/>
              <w:rPr>
                <w:lang w:val="en-GB"/>
              </w:rPr>
            </w:pPr>
            <w:r>
              <w:rPr>
                <w:lang w:val="en-GB"/>
              </w:rPr>
              <w:t>13.0613</w:t>
            </w:r>
          </w:p>
          <w:p>
            <w:pPr>
              <w:spacing w:before="120" w:after="120"/>
              <w:jc w:val="center"/>
              <w:textAlignment w:val="center"/>
              <w:rPr>
                <w:lang w:val="en-GB"/>
              </w:rPr>
            </w:pPr>
            <w:r>
              <w:rPr>
                <w:lang w:val="en-GB"/>
              </w:rPr>
              <w:t>(</w:t>
            </w:r>
            <w:r>
              <w:rPr>
                <w:color w:val="FF0000"/>
                <w:lang w:val="en-GB"/>
              </w:rPr>
              <w:t>+5.07%↑</w:t>
            </w:r>
            <w:r>
              <w:rPr>
                <w:lang w:val="en-GB"/>
              </w:rPr>
              <w:t>)</w:t>
            </w:r>
          </w:p>
        </w:tc>
        <w:tc>
          <w:tcPr>
            <w:tcW w:w="1418" w:type="dxa"/>
          </w:tcPr>
          <w:p>
            <w:pPr>
              <w:spacing w:before="120" w:after="120"/>
              <w:jc w:val="center"/>
              <w:textAlignment w:val="center"/>
              <w:rPr>
                <w:lang w:val="en-GB"/>
              </w:rPr>
            </w:pPr>
            <w:r>
              <w:rPr>
                <w:lang w:val="en-GB"/>
              </w:rPr>
              <w:t>13.4169</w:t>
            </w:r>
          </w:p>
          <w:p>
            <w:pPr>
              <w:spacing w:before="120" w:after="120"/>
              <w:jc w:val="center"/>
              <w:textAlignment w:val="center"/>
              <w:rPr>
                <w:lang w:val="en-GB"/>
              </w:rPr>
            </w:pPr>
            <w:r>
              <w:rPr>
                <w:lang w:val="en-GB"/>
              </w:rPr>
              <w:t>(</w:t>
            </w:r>
            <w:r>
              <w:rPr>
                <w:color w:val="FF0000"/>
                <w:lang w:val="en-GB"/>
              </w:rPr>
              <w:t>+7.93%↑</w:t>
            </w:r>
            <w:r>
              <w:rPr>
                <w:lang w:val="en-GB"/>
              </w:rPr>
              <w:t>)</w:t>
            </w:r>
          </w:p>
        </w:tc>
        <w:tc>
          <w:tcPr>
            <w:tcW w:w="1417" w:type="dxa"/>
          </w:tcPr>
          <w:p>
            <w:pPr>
              <w:spacing w:before="120" w:after="120"/>
              <w:jc w:val="center"/>
              <w:textAlignment w:val="center"/>
              <w:rPr>
                <w:lang w:val="en-GB"/>
              </w:rPr>
            </w:pPr>
            <w:r>
              <w:rPr>
                <w:lang w:val="en-GB"/>
              </w:rPr>
              <w:t>13.5942</w:t>
            </w:r>
          </w:p>
          <w:p>
            <w:pPr>
              <w:spacing w:before="120" w:after="120"/>
              <w:jc w:val="center"/>
              <w:textAlignment w:val="center"/>
              <w:rPr>
                <w:lang w:val="en-GB"/>
              </w:rPr>
            </w:pPr>
            <w:r>
              <w:rPr>
                <w:lang w:val="en-GB"/>
              </w:rPr>
              <w:t>(</w:t>
            </w:r>
            <w:r>
              <w:rPr>
                <w:color w:val="FF0000"/>
                <w:lang w:val="en-GB"/>
              </w:rPr>
              <w:t>+9.35%↑</w:t>
            </w:r>
            <w:r>
              <w:rPr>
                <w:lang w:val="en-GB"/>
              </w:rPr>
              <w:t>)</w:t>
            </w:r>
          </w:p>
        </w:tc>
      </w:tr>
    </w:tbl>
    <w:p>
      <w:pPr>
        <w:spacing w:before="240" w:beforeLines="100" w:after="120"/>
      </w:pPr>
      <w:r>
        <w:t xml:space="preserve">Based on the above observation, non-group based beam reporting is not </w:t>
      </w:r>
      <w:r>
        <w:rPr>
          <w:rFonts w:hint="eastAsia"/>
        </w:rPr>
        <w:t xml:space="preserve">an </w:t>
      </w:r>
      <w:r>
        <w:t xml:space="preserve">efficient method of beam reporting.    Considering this, 4 beams </w:t>
      </w:r>
      <w:r>
        <w:rPr>
          <w:rFonts w:hint="eastAsia"/>
        </w:rPr>
        <w:t>are</w:t>
      </w:r>
      <w:r>
        <w:t xml:space="preserve"> more than sufficient for non-group based beam reporting. Therefore, the direction of enhancements in Rel-17 should be increasing maximum number of beam groups to at least 4 from only 1 or 2 groups that has been already supported in RAN1#104-e. Regarding the number of the reported beams in a group, further evaluation should be done considering more UE panels.</w:t>
      </w:r>
    </w:p>
    <w:p>
      <w:pPr>
        <w:spacing w:before="120" w:beforeLines="50" w:after="120"/>
        <w:rPr>
          <w:b/>
          <w:i/>
        </w:rPr>
      </w:pPr>
      <w:r>
        <w:rPr>
          <w:b/>
          <w:i/>
        </w:rPr>
        <w:t xml:space="preserve">Observation 2: </w:t>
      </w:r>
      <w:r>
        <w:rPr>
          <w:i/>
        </w:rPr>
        <w:t>From the evaluation results for Option 1 panel-specific reporting and Option 2 beam group based reporting, it can be observed that:</w:t>
      </w:r>
    </w:p>
    <w:p>
      <w:pPr>
        <w:numPr>
          <w:ilvl w:val="0"/>
          <w:numId w:val="10"/>
        </w:numPr>
        <w:overflowPunct w:val="0"/>
        <w:autoSpaceDE w:val="0"/>
        <w:autoSpaceDN w:val="0"/>
        <w:adjustRightInd w:val="0"/>
        <w:spacing w:before="120" w:beforeLines="50" w:after="120" w:afterLines="0" w:line="300" w:lineRule="auto"/>
        <w:textAlignment w:val="baseline"/>
        <w:rPr>
          <w:i/>
        </w:rPr>
      </w:pPr>
      <w:r>
        <w:rPr>
          <w:i/>
        </w:rPr>
        <w:t>Increase number of beams per group for Option 1 and increase number of groups for Option-2 can bring significantly higher performance gain to combat blockage and UE mobility, especially for cell-edge UE in dense urban, through improving system flexibility with more candidate beams.</w:t>
      </w:r>
    </w:p>
    <w:p>
      <w:pPr>
        <w:numPr>
          <w:ilvl w:val="0"/>
          <w:numId w:val="10"/>
        </w:numPr>
        <w:overflowPunct w:val="0"/>
        <w:autoSpaceDE w:val="0"/>
        <w:autoSpaceDN w:val="0"/>
        <w:adjustRightInd w:val="0"/>
        <w:spacing w:before="120" w:beforeLines="50" w:after="120" w:afterLines="0" w:line="300" w:lineRule="auto"/>
        <w:textAlignment w:val="baseline"/>
        <w:rPr>
          <w:i/>
        </w:rPr>
      </w:pPr>
      <w:r>
        <w:rPr>
          <w:i/>
        </w:rPr>
        <w:t>Increase number of groups for Option 1 and increase number of beams per group for Option 2 can be more suitable for advanced UE with 3, 4 or more panels.</w:t>
      </w:r>
    </w:p>
    <w:p>
      <w:pPr>
        <w:pStyle w:val="2"/>
        <w:spacing w:before="240" w:after="120"/>
        <w:rPr>
          <w:lang w:val="en-US"/>
        </w:rPr>
      </w:pPr>
      <w:r>
        <w:rPr>
          <w:lang w:val="en-US"/>
        </w:rPr>
        <w:t>UE initialized TRP switching for multi-TRP operation</w:t>
      </w:r>
    </w:p>
    <w:p>
      <w:pPr>
        <w:spacing w:after="120"/>
      </w:pPr>
      <w:r>
        <w:rPr>
          <w:rFonts w:hint="eastAsia"/>
        </w:rPr>
        <w:t xml:space="preserve">The movement and rotation of the UE will cause continuous changes in the channel quality between the gNodeB and the UE. Especially in the high-speed train scenario, the channel quality </w:t>
      </w:r>
      <w:r>
        <w:t xml:space="preserve">may be poor </w:t>
      </w:r>
      <w:r>
        <w:rPr>
          <w:rFonts w:hint="eastAsia"/>
        </w:rPr>
        <w:t xml:space="preserve">in some cases. In these cases, a better TRP or </w:t>
      </w:r>
      <w:r>
        <w:t>m</w:t>
      </w:r>
      <w:r>
        <w:rPr>
          <w:rFonts w:hint="eastAsia"/>
        </w:rPr>
        <w:t>ulti-TRP</w:t>
      </w:r>
      <w:r>
        <w:t xml:space="preserve"> group</w:t>
      </w:r>
      <w:r>
        <w:rPr>
          <w:rFonts w:hint="eastAsia"/>
        </w:rPr>
        <w:t xml:space="preserve"> should be selected for transmission to enhance communication reliability. At present, the transmission selection of Single-TRP or Multi-TRP is usually indicated by the gNodeB. However, if the backhaul between TRPs is not ideal, </w:t>
      </w:r>
      <w:r>
        <w:t xml:space="preserve">a large latency between TRPs may be experience and so </w:t>
      </w:r>
      <w:r>
        <w:rPr>
          <w:rFonts w:hint="eastAsia"/>
        </w:rPr>
        <w:t xml:space="preserve">the </w:t>
      </w:r>
      <w:r>
        <w:t>serving</w:t>
      </w:r>
      <w:r>
        <w:rPr>
          <w:rFonts w:hint="eastAsia"/>
        </w:rPr>
        <w:t xml:space="preserve"> TRP can</w:t>
      </w:r>
      <w:r>
        <w:t xml:space="preserve"> NOT</w:t>
      </w:r>
      <w:r>
        <w:rPr>
          <w:rFonts w:hint="eastAsia"/>
        </w:rPr>
        <w:t xml:space="preserve"> obtain the channel quality of other TRP</w:t>
      </w:r>
      <w:r>
        <w:t>(</w:t>
      </w:r>
      <w:r>
        <w:rPr>
          <w:rFonts w:hint="eastAsia"/>
        </w:rPr>
        <w:t>s</w:t>
      </w:r>
      <w:r>
        <w:t>)</w:t>
      </w:r>
      <w:r>
        <w:rPr>
          <w:rFonts w:hint="eastAsia"/>
        </w:rPr>
        <w:t xml:space="preserve"> </w:t>
      </w:r>
      <w:r>
        <w:t>in time</w:t>
      </w:r>
      <w:r>
        <w:rPr>
          <w:rFonts w:hint="eastAsia"/>
        </w:rPr>
        <w:t>. Therefore, if the quality of other TRP</w:t>
      </w:r>
      <w:r>
        <w:t>(</w:t>
      </w:r>
      <w:r>
        <w:rPr>
          <w:rFonts w:hint="eastAsia"/>
        </w:rPr>
        <w:t>s</w:t>
      </w:r>
      <w:r>
        <w:t>)</w:t>
      </w:r>
      <w:r>
        <w:rPr>
          <w:rFonts w:hint="eastAsia"/>
        </w:rPr>
        <w:t xml:space="preserve"> is better, the handover can</w:t>
      </w:r>
      <w:r>
        <w:t xml:space="preserve"> NOT</w:t>
      </w:r>
      <w:r>
        <w:rPr>
          <w:rFonts w:hint="eastAsia"/>
        </w:rPr>
        <w:t xml:space="preserve"> be performed in time.</w:t>
      </w:r>
    </w:p>
    <w:p>
      <w:pPr>
        <w:spacing w:after="120"/>
      </w:pPr>
      <w:r>
        <w:rPr>
          <w:rFonts w:hint="eastAsia"/>
        </w:rPr>
        <w:t xml:space="preserve">In the high-speed train (HST) scenario, when a UE moves away from the connected TRP, the increase of path loss and beam changes </w:t>
      </w:r>
      <w:r>
        <w:t>may</w:t>
      </w:r>
      <w:r>
        <w:rPr>
          <w:rFonts w:hint="eastAsia"/>
        </w:rPr>
        <w:t xml:space="preserve"> affect the channel quality between the TRP and the UE. Figure 2 shows the channel quality changes with UE movement. Here, RSRP (Reference Signal Receiving Power) is used as the channel quality evaluation indicator. </w:t>
      </w:r>
    </w:p>
    <w:p>
      <w:pPr>
        <w:spacing w:before="120" w:after="120"/>
        <w:jc w:val="center"/>
      </w:pPr>
      <w:r>
        <w:drawing>
          <wp:inline distT="0" distB="0" distL="114300" distR="114300">
            <wp:extent cx="5842000" cy="2427605"/>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rcRect r="1573"/>
                    <a:stretch>
                      <a:fillRect/>
                    </a:stretch>
                  </pic:blipFill>
                  <pic:spPr>
                    <a:xfrm>
                      <a:off x="0" y="0"/>
                      <a:ext cx="5842000" cy="2427605"/>
                    </a:xfrm>
                    <a:prstGeom prst="rect">
                      <a:avLst/>
                    </a:prstGeom>
                    <a:noFill/>
                    <a:ln>
                      <a:noFill/>
                    </a:ln>
                  </pic:spPr>
                </pic:pic>
              </a:graphicData>
            </a:graphic>
          </wp:inline>
        </w:drawing>
      </w:r>
    </w:p>
    <w:p>
      <w:pPr>
        <w:spacing w:before="120" w:after="120"/>
        <w:jc w:val="center"/>
        <w:rPr>
          <w:b/>
        </w:rPr>
      </w:pPr>
      <w:r>
        <w:rPr>
          <w:rFonts w:hint="eastAsia"/>
          <w:b/>
        </w:rPr>
        <w:t xml:space="preserve">Figure 2 </w:t>
      </w:r>
      <w:r>
        <w:rPr>
          <w:rFonts w:hint="eastAsia"/>
          <w:bCs/>
        </w:rPr>
        <w:t>Channel quality in the high-speed train scenario</w:t>
      </w:r>
    </w:p>
    <w:p>
      <w:pPr>
        <w:spacing w:after="120"/>
      </w:pPr>
      <w:r>
        <w:rPr>
          <w:rFonts w:hint="eastAsia"/>
        </w:rPr>
        <w:t xml:space="preserve">As shown in Figure 2, the RSRP curves of the TRP1 </w:t>
      </w:r>
      <w:r>
        <w:t xml:space="preserve">and TRP2 </w:t>
      </w:r>
      <w:r>
        <w:rPr>
          <w:rFonts w:hint="eastAsia"/>
        </w:rPr>
        <w:t>are dotted</w:t>
      </w:r>
      <w:r>
        <w:t xml:space="preserve"> and solid, respectively</w:t>
      </w:r>
      <w:r>
        <w:rPr>
          <w:rFonts w:hint="eastAsia"/>
        </w:rPr>
        <w:t>.</w:t>
      </w:r>
      <w:r>
        <w:t xml:space="preserve"> </w:t>
      </w:r>
      <w:r>
        <w:rPr>
          <w:rFonts w:hint="eastAsia"/>
        </w:rPr>
        <w:t>When the UE is at point A, it has established a connection with the TRP1. Then</w:t>
      </w:r>
      <w:r>
        <w:t>, when</w:t>
      </w:r>
      <w:r>
        <w:rPr>
          <w:rFonts w:hint="eastAsia"/>
        </w:rPr>
        <w:t xml:space="preserve"> the UE </w:t>
      </w:r>
      <w:r>
        <w:t>moves</w:t>
      </w:r>
      <w:r>
        <w:rPr>
          <w:rFonts w:hint="eastAsia"/>
        </w:rPr>
        <w:t xml:space="preserve"> from point A to point B or C, the RSRP of TRP1 increases gradually at the beginning. After the UE continues to move, the UE gradually keeps away from the TRP1, </w:t>
      </w:r>
      <w:r>
        <w:t xml:space="preserve">and </w:t>
      </w:r>
      <w:r>
        <w:rPr>
          <w:rFonts w:hint="eastAsia"/>
        </w:rPr>
        <w:t xml:space="preserve">the RSRP of TRP1 starts to decrease gradually. Conversely, as the UE approaches TRP2, the corresponding RSRP increases gradually. Therefore, to ensure the </w:t>
      </w:r>
      <w:r>
        <w:t>transmission performance</w:t>
      </w:r>
      <w:r>
        <w:rPr>
          <w:rFonts w:hint="eastAsia"/>
        </w:rPr>
        <w:t>, the UE needs to report a TRP handover mode from the following options.</w:t>
      </w:r>
    </w:p>
    <w:p>
      <w:pPr>
        <w:numPr>
          <w:ilvl w:val="0"/>
          <w:numId w:val="16"/>
        </w:numPr>
        <w:spacing w:after="120"/>
      </w:pPr>
      <w:r>
        <w:t>Mode 1: switch from current TRP to another TRP with better channel quality.</w:t>
      </w:r>
    </w:p>
    <w:p>
      <w:pPr>
        <w:numPr>
          <w:ilvl w:val="0"/>
          <w:numId w:val="16"/>
        </w:numPr>
        <w:spacing w:after="120"/>
      </w:pPr>
      <w:r>
        <w:rPr>
          <w:rFonts w:hint="eastAsia"/>
          <w:lang w:val="en-GB"/>
        </w:rPr>
        <w:t xml:space="preserve">Mode 2: switch from </w:t>
      </w:r>
      <w:r>
        <w:t>current TRP</w:t>
      </w:r>
      <w:r>
        <w:rPr>
          <w:rFonts w:hint="eastAsia"/>
          <w:lang w:val="en-GB"/>
        </w:rPr>
        <w:t xml:space="preserve"> to multi-TRP</w:t>
      </w:r>
      <w:r>
        <w:rPr>
          <w:rFonts w:hint="eastAsia"/>
        </w:rPr>
        <w:t xml:space="preserve"> </w:t>
      </w:r>
      <w:r>
        <w:t>with better channel quality</w:t>
      </w:r>
      <w:r>
        <w:rPr>
          <w:rFonts w:hint="eastAsia"/>
          <w:lang w:val="en-GB"/>
        </w:rPr>
        <w:t>.</w:t>
      </w:r>
    </w:p>
    <w:p>
      <w:pPr>
        <w:spacing w:after="120"/>
      </w:pPr>
      <w:r>
        <w:rPr>
          <w:rFonts w:hint="eastAsia"/>
        </w:rPr>
        <w:t>According to the above description, multi-TRP transmission may be configured for UE, but the following situation may occur during the UE movement: When a UE moves away from one TRP and approaches another TRP at the same time, the RSRP of one TRP will be obviously better than that of the other TRP. In this case, the transmission of multi-TRP cannot provide obvious transmission reliability, compared with the transmission of single-TRP with better channel quality. Therefore, the UE needs to report a TRP handover mode as the following option.</w:t>
      </w:r>
    </w:p>
    <w:p>
      <w:pPr>
        <w:numPr>
          <w:ilvl w:val="0"/>
          <w:numId w:val="16"/>
        </w:numPr>
        <w:spacing w:after="120"/>
      </w:pPr>
      <w:r>
        <w:rPr>
          <w:rFonts w:hint="eastAsia"/>
          <w:lang w:val="en-GB"/>
        </w:rPr>
        <w:t xml:space="preserve">Mode </w:t>
      </w:r>
      <w:r>
        <w:rPr>
          <w:rFonts w:hint="eastAsia"/>
        </w:rPr>
        <w:t>3</w:t>
      </w:r>
      <w:r>
        <w:rPr>
          <w:rFonts w:hint="eastAsia"/>
          <w:lang w:val="en-GB"/>
        </w:rPr>
        <w:t xml:space="preserve">: switch from </w:t>
      </w:r>
      <w:r>
        <w:t xml:space="preserve">current </w:t>
      </w:r>
      <w:r>
        <w:rPr>
          <w:rFonts w:hint="eastAsia"/>
        </w:rPr>
        <w:t>multi-</w:t>
      </w:r>
      <w:r>
        <w:t>TRP</w:t>
      </w:r>
      <w:r>
        <w:rPr>
          <w:rFonts w:hint="eastAsia"/>
          <w:lang w:val="en-GB"/>
        </w:rPr>
        <w:t xml:space="preserve"> to </w:t>
      </w:r>
      <w:r>
        <w:rPr>
          <w:rFonts w:hint="eastAsia"/>
        </w:rPr>
        <w:t>single</w:t>
      </w:r>
      <w:r>
        <w:rPr>
          <w:rFonts w:hint="eastAsia"/>
          <w:lang w:val="en-GB"/>
        </w:rPr>
        <w:t>-TRP</w:t>
      </w:r>
      <w:r>
        <w:rPr>
          <w:rFonts w:hint="eastAsia"/>
        </w:rPr>
        <w:t xml:space="preserve"> </w:t>
      </w:r>
      <w:r>
        <w:t>with better channel quality</w:t>
      </w:r>
      <w:r>
        <w:rPr>
          <w:rFonts w:hint="eastAsia"/>
          <w:lang w:val="en-GB"/>
        </w:rPr>
        <w:t>.</w:t>
      </w:r>
    </w:p>
    <w:p>
      <w:pPr>
        <w:spacing w:after="120"/>
      </w:pPr>
      <w:r>
        <w:rPr>
          <w:rFonts w:hint="eastAsia"/>
        </w:rPr>
        <w:t>As shown in Figure 2, when the UE moves from point B to point C, the RSRP measurement value of TRP1 re</w:t>
      </w:r>
      <w:r>
        <w:t xml:space="preserve">duces </w:t>
      </w:r>
      <w:r>
        <w:rPr>
          <w:rFonts w:hint="eastAsia"/>
        </w:rPr>
        <w:t xml:space="preserve">gradually, and the RSRP measurement value of TRP2 </w:t>
      </w:r>
      <w:r>
        <w:t>increases</w:t>
      </w:r>
      <w:r>
        <w:rPr>
          <w:rFonts w:hint="eastAsia"/>
        </w:rPr>
        <w:t xml:space="preserve"> gradually. At this time, the difference between them </w:t>
      </w:r>
      <w:r>
        <w:t>increases</w:t>
      </w:r>
      <w:r>
        <w:rPr>
          <w:rFonts w:hint="eastAsia"/>
        </w:rPr>
        <w:t xml:space="preserve"> gradually</w:t>
      </w:r>
      <w:r>
        <w:t>,</w:t>
      </w:r>
      <w:r>
        <w:rPr>
          <w:rFonts w:hint="eastAsia"/>
        </w:rPr>
        <w:t xml:space="preserve"> and the communication with the UE can be completed through the TRP2 only. The UE can report to the gNodeB and recommend single-TRP transmission of the TRP2 (Mode 3) to reduce unnecessary overhead.</w:t>
      </w:r>
    </w:p>
    <w:p>
      <w:pPr>
        <w:spacing w:after="0" w:afterLines="0" w:line="240" w:lineRule="auto"/>
        <w:jc w:val="left"/>
        <w:rPr>
          <w:rFonts w:eastAsia="微软雅黑"/>
          <w:i/>
          <w:lang w:val="en-GB"/>
        </w:rPr>
      </w:pPr>
      <w:r>
        <w:rPr>
          <w:rFonts w:hint="eastAsia"/>
          <w:b/>
          <w:bCs/>
          <w:i/>
          <w:iCs/>
          <w:lang w:val="en-GB"/>
        </w:rPr>
        <w:t>P</w:t>
      </w:r>
      <w:r>
        <w:rPr>
          <w:b/>
          <w:bCs/>
          <w:i/>
          <w:iCs/>
          <w:lang w:val="en-GB"/>
        </w:rPr>
        <w:t xml:space="preserve">roposal </w:t>
      </w:r>
      <w:r>
        <w:rPr>
          <w:rFonts w:hint="eastAsia"/>
          <w:b/>
          <w:bCs/>
          <w:i/>
          <w:iCs/>
        </w:rPr>
        <w:t>3:</w:t>
      </w:r>
      <w:r>
        <w:rPr>
          <w:rFonts w:hint="eastAsia"/>
          <w:i/>
          <w:iCs/>
          <w:lang w:val="en-GB"/>
        </w:rPr>
        <w:t xml:space="preserve"> </w:t>
      </w:r>
      <w:r>
        <w:rPr>
          <w:rFonts w:hint="eastAsia" w:eastAsia="微软雅黑"/>
          <w:i/>
        </w:rPr>
        <w:t>According to the measurement of channel quality by the UE</w:t>
      </w:r>
      <w:r>
        <w:rPr>
          <w:rFonts w:hint="eastAsia" w:eastAsia="微软雅黑"/>
          <w:i/>
          <w:lang w:val="en-GB"/>
        </w:rPr>
        <w:t>,</w:t>
      </w:r>
    </w:p>
    <w:p>
      <w:pPr>
        <w:numPr>
          <w:ilvl w:val="0"/>
          <w:numId w:val="10"/>
        </w:numPr>
        <w:overflowPunct w:val="0"/>
        <w:autoSpaceDE w:val="0"/>
        <w:autoSpaceDN w:val="0"/>
        <w:adjustRightInd w:val="0"/>
        <w:spacing w:before="120" w:beforeLines="50" w:after="120" w:afterLines="0" w:line="300" w:lineRule="auto"/>
        <w:textAlignment w:val="baseline"/>
        <w:rPr>
          <w:rFonts w:eastAsia="微软雅黑"/>
          <w:i/>
          <w:lang w:val="en-GB"/>
        </w:rPr>
      </w:pPr>
      <w:r>
        <w:rPr>
          <w:rFonts w:hint="eastAsia"/>
          <w:bCs/>
          <w:i/>
          <w:iCs/>
        </w:rPr>
        <w:t xml:space="preserve">The </w:t>
      </w:r>
      <w:r>
        <w:rPr>
          <w:bCs/>
          <w:i/>
          <w:iCs/>
        </w:rPr>
        <w:t xml:space="preserve">UE </w:t>
      </w:r>
      <w:r>
        <w:rPr>
          <w:rFonts w:hint="eastAsia"/>
          <w:i/>
        </w:rPr>
        <w:t xml:space="preserve">actively </w:t>
      </w:r>
      <w:r>
        <w:rPr>
          <w:bCs/>
          <w:i/>
          <w:iCs/>
        </w:rPr>
        <w:t>reports to TRP, the report explicitly or implicitly indicates TRP handover mode from the following options:</w:t>
      </w:r>
    </w:p>
    <w:p>
      <w:pPr>
        <w:numPr>
          <w:ilvl w:val="0"/>
          <w:numId w:val="12"/>
        </w:numPr>
        <w:tabs>
          <w:tab w:val="clear" w:pos="420"/>
        </w:tabs>
        <w:overflowPunct w:val="0"/>
        <w:autoSpaceDE w:val="0"/>
        <w:autoSpaceDN w:val="0"/>
        <w:adjustRightInd w:val="0"/>
        <w:spacing w:before="120" w:beforeLines="50" w:after="120" w:afterLines="0" w:line="300" w:lineRule="auto"/>
        <w:textAlignment w:val="baseline"/>
        <w:rPr>
          <w:rFonts w:eastAsia="微软雅黑"/>
          <w:i/>
          <w:lang w:val="en-GB"/>
        </w:rPr>
      </w:pPr>
      <w:r>
        <w:rPr>
          <w:rFonts w:hint="eastAsia" w:eastAsia="微软雅黑"/>
          <w:i/>
          <w:lang w:val="en-GB"/>
        </w:rPr>
        <w:t xml:space="preserve">Mode 1: switch from </w:t>
      </w:r>
      <w:r>
        <w:rPr>
          <w:rFonts w:eastAsia="微软雅黑"/>
          <w:i/>
          <w:lang w:val="en-GB"/>
        </w:rPr>
        <w:t xml:space="preserve">a </w:t>
      </w:r>
      <w:r>
        <w:rPr>
          <w:rFonts w:hint="eastAsia"/>
          <w:i/>
          <w:iCs/>
          <w:lang w:val="en-GB"/>
        </w:rPr>
        <w:t xml:space="preserve">TRP </w:t>
      </w:r>
      <w:r>
        <w:rPr>
          <w:rFonts w:hint="eastAsia" w:eastAsia="微软雅黑"/>
          <w:i/>
          <w:lang w:val="en-GB"/>
        </w:rPr>
        <w:t xml:space="preserve">to </w:t>
      </w:r>
      <w:r>
        <w:rPr>
          <w:rFonts w:eastAsia="微软雅黑"/>
          <w:i/>
          <w:lang w:val="en-GB"/>
        </w:rPr>
        <w:t>an</w:t>
      </w:r>
      <w:r>
        <w:rPr>
          <w:rFonts w:hint="eastAsia" w:eastAsia="微软雅黑"/>
          <w:i/>
          <w:lang w:val="en-GB"/>
        </w:rPr>
        <w:t>other</w:t>
      </w:r>
      <w:r>
        <w:rPr>
          <w:rFonts w:hint="eastAsia" w:eastAsia="微软雅黑"/>
          <w:i/>
        </w:rPr>
        <w:t xml:space="preserve"> </w:t>
      </w:r>
      <w:r>
        <w:rPr>
          <w:rFonts w:hint="eastAsia" w:eastAsia="微软雅黑"/>
          <w:i/>
          <w:lang w:val="en-GB"/>
        </w:rPr>
        <w:t>TRP.</w:t>
      </w:r>
    </w:p>
    <w:p>
      <w:pPr>
        <w:numPr>
          <w:ilvl w:val="0"/>
          <w:numId w:val="12"/>
        </w:numPr>
        <w:tabs>
          <w:tab w:val="clear" w:pos="420"/>
        </w:tabs>
        <w:overflowPunct w:val="0"/>
        <w:autoSpaceDE w:val="0"/>
        <w:autoSpaceDN w:val="0"/>
        <w:adjustRightInd w:val="0"/>
        <w:spacing w:before="120" w:beforeLines="50" w:after="120" w:afterLines="0" w:line="300" w:lineRule="auto"/>
        <w:textAlignment w:val="baseline"/>
        <w:rPr>
          <w:rFonts w:eastAsia="微软雅黑"/>
          <w:i/>
          <w:lang w:val="en-GB"/>
        </w:rPr>
      </w:pPr>
      <w:r>
        <w:rPr>
          <w:rFonts w:hint="eastAsia" w:eastAsia="微软雅黑"/>
          <w:i/>
          <w:lang w:val="en-GB"/>
        </w:rPr>
        <w:t>Mode 2: switch from single-TRP to multi-TRP.</w:t>
      </w:r>
    </w:p>
    <w:p>
      <w:pPr>
        <w:numPr>
          <w:ilvl w:val="0"/>
          <w:numId w:val="12"/>
        </w:numPr>
        <w:tabs>
          <w:tab w:val="clear" w:pos="420"/>
        </w:tabs>
        <w:overflowPunct w:val="0"/>
        <w:autoSpaceDE w:val="0"/>
        <w:autoSpaceDN w:val="0"/>
        <w:adjustRightInd w:val="0"/>
        <w:spacing w:before="120" w:beforeLines="50" w:after="120" w:afterLines="0" w:line="300" w:lineRule="auto"/>
        <w:textAlignment w:val="baseline"/>
        <w:rPr>
          <w:rFonts w:eastAsia="微软雅黑"/>
          <w:i/>
          <w:lang w:val="en-GB"/>
        </w:rPr>
      </w:pPr>
      <w:r>
        <w:rPr>
          <w:rFonts w:hint="eastAsia" w:eastAsia="微软雅黑"/>
          <w:i/>
          <w:lang w:val="en-GB"/>
        </w:rPr>
        <w:t>Mode 3: switch from multi-TRP to single-TRP.</w:t>
      </w:r>
    </w:p>
    <w:p>
      <w:pPr>
        <w:pStyle w:val="2"/>
        <w:spacing w:before="240" w:after="120"/>
        <w:rPr>
          <w:lang w:val="en-US"/>
        </w:rPr>
      </w:pPr>
      <w:r>
        <w:rPr>
          <w:rFonts w:hint="eastAsia"/>
          <w:lang w:val="en-US"/>
        </w:rPr>
        <w:t>Further details on L1/L2-centric intra</w:t>
      </w:r>
      <w:r>
        <w:rPr>
          <w:lang w:val="en-US"/>
        </w:rPr>
        <w:t>/inter</w:t>
      </w:r>
      <w:r>
        <w:rPr>
          <w:rFonts w:hint="eastAsia"/>
          <w:lang w:val="en-US"/>
        </w:rPr>
        <w:t>-cell mobility</w:t>
      </w:r>
    </w:p>
    <w:p>
      <w:pPr>
        <w:pStyle w:val="119"/>
        <w:numPr>
          <w:ilvl w:val="255"/>
          <w:numId w:val="0"/>
        </w:numPr>
        <w:snapToGrid w:val="0"/>
        <w:spacing w:before="120" w:after="120" w:line="300" w:lineRule="auto"/>
      </w:pPr>
      <w:r>
        <w:rPr>
          <w:rFonts w:hint="eastAsia"/>
        </w:rPr>
        <w:t xml:space="preserve">There are following scenarios which are suitable to introduce </w:t>
      </w:r>
      <w:r>
        <w:t>enhancements on L</w:t>
      </w:r>
      <w:r>
        <w:rPr>
          <w:rFonts w:hint="eastAsia"/>
        </w:rPr>
        <w:t>1</w:t>
      </w:r>
      <w:r>
        <w:t>/L2-centric inter-cell mobility</w:t>
      </w:r>
      <w:r>
        <w:rPr>
          <w:rFonts w:hint="eastAsia"/>
        </w:rPr>
        <w:t>.</w:t>
      </w:r>
    </w:p>
    <w:p>
      <w:pPr>
        <w:pStyle w:val="119"/>
        <w:numPr>
          <w:ilvl w:val="255"/>
          <w:numId w:val="0"/>
        </w:numPr>
        <w:snapToGrid w:val="0"/>
        <w:spacing w:before="120" w:after="120" w:line="300" w:lineRule="auto"/>
      </w:pPr>
      <w:r>
        <w:rPr>
          <w:rFonts w:hint="eastAsia"/>
          <w:b/>
          <w:bCs/>
          <w:i/>
          <w:iCs/>
        </w:rPr>
        <w:t>Scenario 1</w:t>
      </w:r>
      <w:r>
        <w:rPr>
          <w:rFonts w:hint="eastAsia"/>
        </w:rPr>
        <w:t>: Several TRPs are scheduled by a central processor. Different TRPs correspond to different physical cell indexes and transmit their own SSB respectively.</w:t>
      </w:r>
      <w:r>
        <w:t xml:space="preserve"> The mainly motivation of this system architecture is to extend the maximum number of RSs to be configured, e.g., SSB. For instance, in order to guarantee the whole spatial coverage, each of TRP(s) may need up to 64 SSBs, and when the multiple TRPs are operated, the number of RS(s) is very huge. As a candidate solution, each of TRPs have own cell ID, and using L1/L2-mobility is to achieve dynamic TRP switching. </w:t>
      </w:r>
    </w:p>
    <w:p>
      <w:pPr>
        <w:pStyle w:val="119"/>
        <w:numPr>
          <w:ilvl w:val="0"/>
          <w:numId w:val="17"/>
        </w:numPr>
        <w:snapToGrid w:val="0"/>
        <w:spacing w:before="120" w:after="120" w:line="300" w:lineRule="auto"/>
        <w:ind w:firstLineChars="0"/>
      </w:pPr>
      <w:r>
        <w:t>In such case, t</w:t>
      </w:r>
      <w:r>
        <w:rPr>
          <w:rFonts w:hint="eastAsia"/>
        </w:rPr>
        <w:t>he central processor can schedule any one or more physical cells to serve one UE under one L3/L2 entity as single-DCI based Multi-TRP transmission.</w:t>
      </w:r>
    </w:p>
    <w:p>
      <w:pPr>
        <w:pStyle w:val="119"/>
        <w:numPr>
          <w:ilvl w:val="0"/>
          <w:numId w:val="17"/>
        </w:numPr>
        <w:snapToGrid w:val="0"/>
        <w:spacing w:before="120" w:after="120" w:line="300" w:lineRule="auto"/>
        <w:ind w:firstLineChars="0"/>
      </w:pPr>
      <w:r>
        <w:t>Regarding L1/L2-centric inter-cell mobility, the</w:t>
      </w:r>
      <w:r>
        <w:rPr>
          <w:rFonts w:hint="eastAsia"/>
        </w:rPr>
        <w:t xml:space="preserve"> source cell</w:t>
      </w:r>
      <w:r>
        <w:t>/TRP</w:t>
      </w:r>
      <w:r>
        <w:rPr>
          <w:rFonts w:hint="eastAsia"/>
        </w:rPr>
        <w:t xml:space="preserve"> receives a L3 mobility measurement from a UE. Then after coordination with the target cell</w:t>
      </w:r>
      <w:r>
        <w:t>/TRP</w:t>
      </w:r>
      <w:r>
        <w:rPr>
          <w:rFonts w:hint="eastAsia"/>
        </w:rPr>
        <w:t>, the source cell</w:t>
      </w:r>
      <w:r>
        <w:t>/TRP</w:t>
      </w:r>
      <w:r>
        <w:rPr>
          <w:rFonts w:hint="eastAsia"/>
        </w:rPr>
        <w:t xml:space="preserve"> can quickly let the UE communicate with both the target cell and the source cell without L3/L2 entity change</w:t>
      </w:r>
      <w:r>
        <w:t>, since th</w:t>
      </w:r>
      <w:r>
        <w:rPr>
          <w:rFonts w:hint="eastAsia"/>
        </w:rPr>
        <w:t xml:space="preserve">e latency of backhaul between the central processor and each TRP can be ignored </w:t>
      </w:r>
      <w:r>
        <w:t>in this architecture</w:t>
      </w:r>
      <w:r>
        <w:rPr>
          <w:rFonts w:hint="eastAsia"/>
        </w:rPr>
        <w:t>.</w:t>
      </w:r>
      <w:r>
        <w:t xml:space="preserve"> </w:t>
      </w:r>
      <w:r>
        <w:rPr>
          <w:rFonts w:hint="eastAsia"/>
        </w:rPr>
        <w:t xml:space="preserve">The UE can report L1 reporting of the target cell to </w:t>
      </w:r>
      <w:r>
        <w:t>a</w:t>
      </w:r>
      <w:r>
        <w:rPr>
          <w:rFonts w:hint="eastAsia"/>
        </w:rPr>
        <w:t xml:space="preserve"> source cell</w:t>
      </w:r>
      <w:r>
        <w:t xml:space="preserve"> directly</w:t>
      </w:r>
      <w:r>
        <w:rPr>
          <w:rFonts w:hint="eastAsia"/>
        </w:rPr>
        <w:t>.</w:t>
      </w:r>
    </w:p>
    <w:p>
      <w:pPr>
        <w:pStyle w:val="123"/>
        <w:numPr>
          <w:ilvl w:val="255"/>
          <w:numId w:val="0"/>
        </w:numPr>
        <w:snapToGrid w:val="0"/>
        <w:spacing w:before="120" w:after="120" w:line="300" w:lineRule="auto"/>
      </w:pPr>
      <w:r>
        <w:rPr>
          <w:rFonts w:hint="eastAsia"/>
        </w:rPr>
        <w:t xml:space="preserve">In </w:t>
      </w:r>
      <w:r>
        <w:t>this scenario</w:t>
      </w:r>
      <w:r>
        <w:rPr>
          <w:rFonts w:hint="eastAsia"/>
        </w:rPr>
        <w:t xml:space="preserve">, multiple </w:t>
      </w:r>
      <w:r>
        <w:t>PHY layers including multi-RRH</w:t>
      </w:r>
      <w:r>
        <w:rPr>
          <w:rFonts w:hint="eastAsia"/>
        </w:rPr>
        <w:t xml:space="preserve"> </w:t>
      </w:r>
      <w:r>
        <w:t xml:space="preserve">cases </w:t>
      </w:r>
      <w:r>
        <w:rPr>
          <w:rFonts w:hint="eastAsia"/>
        </w:rPr>
        <w:t>are</w:t>
      </w:r>
      <w:r>
        <w:t xml:space="preserve"> performed</w:t>
      </w:r>
      <w:r>
        <w:rPr>
          <w:rFonts w:hint="eastAsia"/>
        </w:rPr>
        <w:t xml:space="preserve"> under </w:t>
      </w:r>
      <w:r>
        <w:t>a single</w:t>
      </w:r>
      <w:r>
        <w:rPr>
          <w:rFonts w:hint="eastAsia"/>
        </w:rPr>
        <w:t xml:space="preserve"> L3/L2 entity as shown in Figure 3</w:t>
      </w:r>
      <w:r>
        <w:t xml:space="preserve">, which can significant </w:t>
      </w:r>
      <w:r>
        <w:rPr>
          <w:rFonts w:hint="eastAsia"/>
        </w:rPr>
        <w:t>reduce the inter-cell mobility complexity at UE side and increase hand over success rate compared with traditional inter-cell mobility scheme.</w:t>
      </w:r>
    </w:p>
    <w:p>
      <w:pPr>
        <w:pStyle w:val="123"/>
        <w:numPr>
          <w:ilvl w:val="255"/>
          <w:numId w:val="0"/>
        </w:numPr>
        <w:snapToGrid w:val="0"/>
        <w:spacing w:before="120" w:after="120" w:line="300" w:lineRule="auto"/>
        <w:jc w:val="center"/>
      </w:pPr>
      <w:r>
        <w:object>
          <v:shape id="_x0000_i1025" o:spt="75" type="#_x0000_t75" style="height:129.35pt;width:198.3pt;" o:ole="t" filled="f" o:preferrelative="t" stroked="f" coordsize="21600,21600">
            <v:path/>
            <v:fill on="f" focussize="0,0"/>
            <v:stroke on="f" joinstyle="miter"/>
            <v:imagedata r:id="rId13" o:title=""/>
            <o:lock v:ext="edit" aspectratio="t"/>
            <w10:wrap type="none"/>
            <w10:anchorlock/>
          </v:shape>
          <o:OLEObject Type="Embed" ProgID="Visio.Drawing.11" ShapeID="_x0000_i1025" DrawAspect="Content" ObjectID="_1468075725" r:id="rId12">
            <o:LockedField>false</o:LockedField>
          </o:OLEObject>
        </w:object>
      </w:r>
    </w:p>
    <w:p>
      <w:pPr>
        <w:pStyle w:val="119"/>
        <w:numPr>
          <w:ilvl w:val="255"/>
          <w:numId w:val="0"/>
        </w:numPr>
        <w:snapToGrid w:val="0"/>
        <w:spacing w:before="120" w:after="120" w:line="300" w:lineRule="auto"/>
        <w:jc w:val="center"/>
      </w:pPr>
      <w:r>
        <w:rPr>
          <w:rFonts w:hint="eastAsia"/>
          <w:b/>
          <w:bCs/>
        </w:rPr>
        <w:t xml:space="preserve">Figure 3 </w:t>
      </w:r>
      <w:r>
        <w:t>Multiple physical cells structure under the same L2/L3 entity</w:t>
      </w:r>
    </w:p>
    <w:p>
      <w:pPr>
        <w:pStyle w:val="119"/>
        <w:numPr>
          <w:ilvl w:val="255"/>
          <w:numId w:val="0"/>
        </w:numPr>
        <w:snapToGrid w:val="0"/>
        <w:spacing w:before="120" w:after="120" w:line="300" w:lineRule="auto"/>
      </w:pPr>
      <w:r>
        <w:rPr>
          <w:rFonts w:hint="eastAsia"/>
          <w:b/>
          <w:bCs/>
          <w:i/>
          <w:iCs/>
        </w:rPr>
        <w:t xml:space="preserve">Scenario </w:t>
      </w:r>
      <w:r>
        <w:rPr>
          <w:b/>
          <w:bCs/>
          <w:i/>
          <w:iCs/>
        </w:rPr>
        <w:t xml:space="preserve">2: </w:t>
      </w:r>
      <w:r>
        <w:rPr>
          <w:rFonts w:hint="eastAsia"/>
        </w:rPr>
        <w:t xml:space="preserve">When the UE detects an L3 mobility measurement event, the target cell and the source cell </w:t>
      </w:r>
      <w:r>
        <w:t>may</w:t>
      </w:r>
      <w:r>
        <w:rPr>
          <w:rFonts w:hint="eastAsia"/>
        </w:rPr>
        <w:t xml:space="preserve"> be under different L3/L2 entities as shown in Figure 4, but the UE can report </w:t>
      </w:r>
      <w:r>
        <w:t>L</w:t>
      </w:r>
      <w:r>
        <w:rPr>
          <w:rFonts w:hint="eastAsia"/>
        </w:rPr>
        <w:t xml:space="preserve">1 </w:t>
      </w:r>
      <w:r>
        <w:t>reporting</w:t>
      </w:r>
      <w:r>
        <w:rPr>
          <w:rFonts w:hint="eastAsia"/>
        </w:rPr>
        <w:t xml:space="preserve"> of the target cell before accessing to the target cell and one source cell is associated with more than one L1 reporting each of which is associated with a PCI.</w:t>
      </w:r>
      <w:r>
        <w:t xml:space="preserve"> Then the source cell can indicate UL beam information for accelerating contention-free PRACH procedure to the target cell.</w:t>
      </w:r>
      <w:r>
        <w:rPr>
          <w:rFonts w:hint="eastAsia"/>
        </w:rPr>
        <w:t xml:space="preserve"> The latency of </w:t>
      </w:r>
      <w:r>
        <w:rPr>
          <w:rFonts w:hint="eastAsia"/>
          <w:position w:val="-12"/>
        </w:rPr>
        <w:object>
          <v:shape id="_x0000_i1026" o:spt="75" type="#_x0000_t75" style="height:18.5pt;width:38.1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r>
        <w:rPr>
          <w:rFonts w:hint="eastAsia"/>
        </w:rPr>
        <w:t xml:space="preserve">as described in our contribution </w:t>
      </w:r>
      <w:r>
        <w:t xml:space="preserve">is not needed, </w:t>
      </w:r>
      <w:r>
        <w:rPr>
          <w:rFonts w:hint="eastAsia"/>
        </w:rPr>
        <w:t>since the TCI state of the target cell has been known</w:t>
      </w:r>
      <w:r>
        <w:t xml:space="preserve"> for the UE</w:t>
      </w:r>
      <w:r>
        <w:rPr>
          <w:rFonts w:hint="eastAsia"/>
        </w:rPr>
        <w:t xml:space="preserve"> [2].</w:t>
      </w:r>
    </w:p>
    <w:p>
      <w:pPr>
        <w:pStyle w:val="123"/>
        <w:numPr>
          <w:ilvl w:val="255"/>
          <w:numId w:val="0"/>
        </w:numPr>
        <w:snapToGrid w:val="0"/>
        <w:spacing w:before="120" w:after="120" w:line="300" w:lineRule="auto"/>
        <w:jc w:val="center"/>
      </w:pPr>
      <w:r>
        <w:object>
          <v:shape id="_x0000_i1027" o:spt="75" type="#_x0000_t75" style="height:128.2pt;width:215.6pt;" o:ole="t" filled="f" o:preferrelative="t" stroked="f" coordsize="21600,21600">
            <v:path/>
            <v:fill on="f" focussize="0,0"/>
            <v:stroke on="f" joinstyle="miter"/>
            <v:imagedata r:id="rId17" o:title=""/>
            <o:lock v:ext="edit" aspectratio="t"/>
            <w10:wrap type="none"/>
            <w10:anchorlock/>
          </v:shape>
          <o:OLEObject Type="Embed" ProgID="Visio.Drawing.11" ShapeID="_x0000_i1027" DrawAspect="Content" ObjectID="_1468075727" r:id="rId16">
            <o:LockedField>false</o:LockedField>
          </o:OLEObject>
        </w:object>
      </w:r>
    </w:p>
    <w:p>
      <w:pPr>
        <w:pStyle w:val="123"/>
        <w:numPr>
          <w:ilvl w:val="255"/>
          <w:numId w:val="0"/>
        </w:numPr>
        <w:snapToGrid w:val="0"/>
        <w:spacing w:before="120" w:after="120" w:line="300" w:lineRule="auto"/>
        <w:jc w:val="center"/>
      </w:pPr>
      <w:r>
        <w:rPr>
          <w:rFonts w:hint="eastAsia"/>
          <w:b/>
          <w:bCs/>
        </w:rPr>
        <w:t xml:space="preserve">Figure 4 </w:t>
      </w:r>
      <w:r>
        <w:rPr>
          <w:rFonts w:hint="eastAsia"/>
        </w:rPr>
        <w:t>UE reports an L1 reporting of the target cell to the source cell before accessing to the target cell</w:t>
      </w:r>
    </w:p>
    <w:p>
      <w:pPr>
        <w:pStyle w:val="123"/>
        <w:numPr>
          <w:ilvl w:val="255"/>
          <w:numId w:val="0"/>
        </w:numPr>
        <w:snapToGrid w:val="0"/>
        <w:spacing w:before="120" w:after="120" w:line="300" w:lineRule="auto"/>
      </w:pPr>
      <w:r>
        <w:rPr>
          <w:rFonts w:hint="eastAsia"/>
          <w:b/>
          <w:bCs/>
          <w:i/>
          <w:iCs/>
        </w:rPr>
        <w:t xml:space="preserve">Scenario 3: </w:t>
      </w:r>
      <w:r>
        <w:rPr>
          <w:rFonts w:hint="eastAsia"/>
        </w:rPr>
        <w:t xml:space="preserve">When the source cell and target cell correspond to different L2/L3 entities as shown in Figure 4, and the UE wants to communicate with source cell and neighbor cell simultaneously to improve handover success rate, the DAPS/dual connect has to be adopted. The complexity of UE will be too high. So we propose that source cell and target cell can share same L2/L3 entity as described in Scenario 3. </w:t>
      </w:r>
    </w:p>
    <w:p>
      <w:pPr>
        <w:pStyle w:val="119"/>
        <w:numPr>
          <w:ilvl w:val="255"/>
          <w:numId w:val="0"/>
        </w:numPr>
        <w:snapToGrid w:val="0"/>
        <w:spacing w:before="120" w:after="120" w:line="300" w:lineRule="auto"/>
      </w:pPr>
      <w:r>
        <w:rPr>
          <w:rFonts w:hint="eastAsia"/>
        </w:rPr>
        <w:t xml:space="preserve">In case of handover, the source cell and target cell correspond to the PHY cell 1 and PHY cell 2 in Figure 3 to reduce the complexity of UE. The flexibility of parameter between the PHY cell 1 and PHY cell 2 can be implemented by adopting one of following Schemes: </w:t>
      </w:r>
    </w:p>
    <w:p>
      <w:pPr>
        <w:numPr>
          <w:ilvl w:val="0"/>
          <w:numId w:val="18"/>
        </w:numPr>
        <w:snapToGrid w:val="0"/>
        <w:spacing w:before="120" w:after="120" w:line="300" w:lineRule="auto"/>
        <w:rPr>
          <w:rFonts w:eastAsia="微软雅黑"/>
        </w:rPr>
      </w:pPr>
      <w:r>
        <w:rPr>
          <w:rFonts w:hint="eastAsia" w:eastAsia="微软雅黑"/>
        </w:rPr>
        <w:t xml:space="preserve">Scheme-1: Physical cell 1 and physical cell 2 </w:t>
      </w:r>
      <w:r>
        <w:rPr>
          <w:rFonts w:eastAsia="微软雅黑"/>
        </w:rPr>
        <w:t>correspond to</w:t>
      </w:r>
      <w:r>
        <w:rPr>
          <w:rFonts w:hint="eastAsia" w:eastAsia="微软雅黑"/>
        </w:rPr>
        <w:t xml:space="preserve"> different serving cells</w:t>
      </w:r>
    </w:p>
    <w:p>
      <w:pPr>
        <w:numPr>
          <w:ilvl w:val="0"/>
          <w:numId w:val="18"/>
        </w:numPr>
        <w:snapToGrid w:val="0"/>
        <w:spacing w:before="120" w:after="120" w:line="300" w:lineRule="auto"/>
        <w:rPr>
          <w:rFonts w:eastAsia="微软雅黑"/>
        </w:rPr>
      </w:pPr>
      <w:r>
        <w:rPr>
          <w:rFonts w:hint="eastAsia" w:eastAsia="微软雅黑"/>
        </w:rPr>
        <w:t xml:space="preserve">Scheme-2: Physical cell 1 and physical cell 2 </w:t>
      </w:r>
      <w:r>
        <w:rPr>
          <w:rFonts w:eastAsia="微软雅黑"/>
        </w:rPr>
        <w:t>correspond to</w:t>
      </w:r>
      <w:r>
        <w:rPr>
          <w:rFonts w:hint="eastAsia" w:eastAsia="微软雅黑"/>
        </w:rPr>
        <w:t xml:space="preserve"> different BWPs</w:t>
      </w:r>
    </w:p>
    <w:p>
      <w:pPr>
        <w:numPr>
          <w:ilvl w:val="0"/>
          <w:numId w:val="18"/>
        </w:numPr>
        <w:snapToGrid w:val="0"/>
        <w:spacing w:before="120" w:after="120" w:line="300" w:lineRule="auto"/>
        <w:rPr>
          <w:rFonts w:eastAsia="微软雅黑"/>
        </w:rPr>
      </w:pPr>
      <w:r>
        <w:rPr>
          <w:rFonts w:hint="eastAsia" w:eastAsia="微软雅黑"/>
        </w:rPr>
        <w:t xml:space="preserve">Scheme-3: Physical cell 1 and physical cell 2 </w:t>
      </w:r>
      <w:r>
        <w:rPr>
          <w:rFonts w:eastAsia="微软雅黑"/>
        </w:rPr>
        <w:t>correspond to</w:t>
      </w:r>
      <w:r>
        <w:rPr>
          <w:rFonts w:hint="eastAsia" w:eastAsia="微软雅黑"/>
        </w:rPr>
        <w:t xml:space="preserve"> the same BWP with different configurations of parameters such as: PCI, </w:t>
      </w:r>
      <w:r>
        <w:rPr>
          <w:rFonts w:eastAsia="微软雅黑"/>
        </w:rPr>
        <w:t xml:space="preserve">non-serving cell SSB information, </w:t>
      </w:r>
      <w:r>
        <w:rPr>
          <w:rFonts w:hint="eastAsia" w:eastAsia="微软雅黑"/>
        </w:rPr>
        <w:t xml:space="preserve">RNTI, rate mating, power control information, wherein the RNTI comprises C-RNTI, SPS-RNTI, and so on. The power control information can includes </w:t>
      </w:r>
      <w:r>
        <w:rPr>
          <w:rFonts w:hint="eastAsia" w:eastAsia="微软雅黑"/>
          <w:position w:val="-12"/>
        </w:rPr>
        <w:object>
          <v:shape id="_x0000_i1028" o:spt="75" type="#_x0000_t75" style="height:18.1pt;width:12.7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8" r:id="rId18">
            <o:LockedField>false</o:LockedField>
          </o:OLEObject>
        </w:object>
      </w:r>
      <w:r>
        <w:rPr>
          <w:rFonts w:hint="eastAsia" w:eastAsia="微软雅黑"/>
        </w:rPr>
        <w:t>, close loop index</w:t>
      </w:r>
    </w:p>
    <w:p>
      <w:pPr>
        <w:pStyle w:val="119"/>
        <w:numPr>
          <w:ilvl w:val="255"/>
          <w:numId w:val="0"/>
        </w:numPr>
        <w:snapToGrid w:val="0"/>
        <w:spacing w:before="120" w:after="120" w:line="300" w:lineRule="auto"/>
      </w:pPr>
      <w:r>
        <w:rPr>
          <w:rFonts w:hint="eastAsia"/>
        </w:rPr>
        <w:t xml:space="preserve">In all of above </w:t>
      </w:r>
      <w:r>
        <w:rPr>
          <w:bCs/>
          <w:iCs/>
        </w:rPr>
        <w:t>scenarios</w:t>
      </w:r>
      <w:r>
        <w:rPr>
          <w:rFonts w:hint="eastAsia"/>
          <w:b/>
          <w:bCs/>
          <w:i/>
          <w:iCs/>
        </w:rPr>
        <w:t xml:space="preserve">, </w:t>
      </w:r>
      <w:r>
        <w:rPr>
          <w:rFonts w:hint="eastAsia"/>
        </w:rPr>
        <w:t>one serving cell will be associated with more than one physical cell</w:t>
      </w:r>
      <w:r>
        <w:t>.</w:t>
      </w:r>
      <w:r>
        <w:rPr>
          <w:rFonts w:hint="eastAsia"/>
        </w:rPr>
        <w:t xml:space="preserve"> </w:t>
      </w:r>
      <w:r>
        <w:t>T</w:t>
      </w:r>
      <w:r>
        <w:rPr>
          <w:rFonts w:hint="eastAsia"/>
        </w:rPr>
        <w:t>hen the UE needs to determine the PCI for a</w:t>
      </w:r>
      <w:r>
        <w:t>n</w:t>
      </w:r>
      <w:r>
        <w:rPr>
          <w:rFonts w:hint="eastAsia"/>
        </w:rPr>
        <w:t xml:space="preserve"> L1 reporting.</w:t>
      </w:r>
    </w:p>
    <w:p>
      <w:pPr>
        <w:pStyle w:val="119"/>
        <w:numPr>
          <w:ilvl w:val="255"/>
          <w:numId w:val="0"/>
        </w:numPr>
        <w:snapToGrid w:val="0"/>
        <w:spacing w:before="120" w:after="120" w:line="300" w:lineRule="auto"/>
      </w:pPr>
      <w:r>
        <w:rPr>
          <w:rFonts w:hint="eastAsia"/>
        </w:rPr>
        <w:t>The</w:t>
      </w:r>
      <w:r>
        <w:t xml:space="preserve"> L1 reporting</w:t>
      </w:r>
      <w:r>
        <w:rPr>
          <w:rFonts w:hint="eastAsia"/>
        </w:rPr>
        <w:t xml:space="preserve"> of neighboring cell can be</w:t>
      </w:r>
      <w:r>
        <w:t xml:space="preserve"> based on SSB/CSI-RS for mobility</w:t>
      </w:r>
      <w:r>
        <w:rPr>
          <w:rFonts w:hint="eastAsia"/>
        </w:rPr>
        <w:t xml:space="preserve"> or SSB/CSI-RS from the neighboring cell</w:t>
      </w:r>
      <w:r>
        <w:t>.</w:t>
      </w:r>
      <w:r>
        <w:rPr>
          <w:rFonts w:hint="eastAsia"/>
        </w:rPr>
        <w:t xml:space="preserve"> Further, it should be considered how the UE know</w:t>
      </w:r>
      <w:r>
        <w:t>s</w:t>
      </w:r>
      <w:r>
        <w:rPr>
          <w:rFonts w:hint="eastAsia"/>
        </w:rPr>
        <w:t xml:space="preserve"> which L1 reporting of the neighboring cell should be reported. There are the following candidate methods.</w:t>
      </w:r>
    </w:p>
    <w:p>
      <w:pPr>
        <w:pStyle w:val="119"/>
        <w:numPr>
          <w:ilvl w:val="0"/>
          <w:numId w:val="19"/>
        </w:numPr>
        <w:tabs>
          <w:tab w:val="left" w:pos="400"/>
        </w:tabs>
        <w:snapToGrid w:val="0"/>
        <w:spacing w:before="120" w:after="120" w:line="300" w:lineRule="auto"/>
        <w:ind w:left="1200" w:hanging="1200" w:firstLineChars="0"/>
        <w:rPr>
          <w:sz w:val="21"/>
          <w:szCs w:val="22"/>
        </w:rPr>
      </w:pPr>
      <w:r>
        <w:rPr>
          <w:rFonts w:hint="eastAsia"/>
        </w:rPr>
        <w:t>Method</w:t>
      </w:r>
      <w:r>
        <w:t>-</w:t>
      </w:r>
      <w:r>
        <w:rPr>
          <w:rFonts w:hint="eastAsia"/>
        </w:rPr>
        <w:t xml:space="preserve">1: The gNB configures each neighboring cell of the UE with an L1 reporting by RRC. The gNB gets the </w:t>
      </w:r>
      <w:r>
        <w:t xml:space="preserve">information of </w:t>
      </w:r>
      <w:r>
        <w:rPr>
          <w:rFonts w:hint="eastAsia"/>
        </w:rPr>
        <w:t>neighboring cell</w:t>
      </w:r>
      <w:r>
        <w:t>(s)</w:t>
      </w:r>
      <w:r>
        <w:rPr>
          <w:rFonts w:hint="eastAsia"/>
        </w:rPr>
        <w:t xml:space="preserve"> according to the location of the UE. The number of the neighboring cell</w:t>
      </w:r>
      <w:r>
        <w:t>(s)</w:t>
      </w:r>
      <w:r>
        <w:rPr>
          <w:rFonts w:hint="eastAsia"/>
        </w:rPr>
        <w:t xml:space="preserve"> may be large, but the UE still needs to reports L1 reporting for each possible neighboring cell</w:t>
      </w:r>
      <w:r>
        <w:t>(s)</w:t>
      </w:r>
      <w:r>
        <w:rPr>
          <w:rFonts w:hint="eastAsia"/>
        </w:rPr>
        <w:t xml:space="preserve">. It is inefficient and </w:t>
      </w:r>
      <w:r>
        <w:rPr>
          <w:rFonts w:hint="eastAsia"/>
          <w:sz w:val="21"/>
          <w:szCs w:val="22"/>
        </w:rPr>
        <w:t xml:space="preserve">unnecessary. </w:t>
      </w:r>
    </w:p>
    <w:p>
      <w:pPr>
        <w:pStyle w:val="119"/>
        <w:numPr>
          <w:ilvl w:val="0"/>
          <w:numId w:val="19"/>
        </w:numPr>
        <w:tabs>
          <w:tab w:val="left" w:pos="400"/>
        </w:tabs>
        <w:snapToGrid w:val="0"/>
        <w:spacing w:before="120" w:after="120" w:line="300" w:lineRule="auto"/>
        <w:ind w:left="1200" w:hanging="1200" w:firstLineChars="0"/>
      </w:pPr>
      <w:r>
        <w:rPr>
          <w:rFonts w:hint="eastAsia"/>
        </w:rPr>
        <w:t>Method</w:t>
      </w:r>
      <w:r>
        <w:t>-</w:t>
      </w:r>
      <w:r>
        <w:rPr>
          <w:rFonts w:hint="eastAsia"/>
        </w:rPr>
        <w:t xml:space="preserve">2: The gNB configures information of a neighboring cell for L1 reporting by MAC-CE after the gNB receives an L3 mobility reporting which includes a few of selected neighboring cells. It can reduce the overhead of RRC and reduce the power of UE as the UE </w:t>
      </w:r>
      <w:r>
        <w:t>only need to</w:t>
      </w:r>
      <w:r>
        <w:rPr>
          <w:rFonts w:hint="eastAsia"/>
        </w:rPr>
        <w:t xml:space="preserve"> </w:t>
      </w:r>
      <w:r>
        <w:t xml:space="preserve">perform </w:t>
      </w:r>
      <w:r>
        <w:rPr>
          <w:rFonts w:hint="eastAsia"/>
        </w:rPr>
        <w:t xml:space="preserve">L1 reporting for a few </w:t>
      </w:r>
      <w:r>
        <w:t xml:space="preserve">of </w:t>
      </w:r>
      <w:r>
        <w:rPr>
          <w:rFonts w:hint="eastAsia"/>
        </w:rPr>
        <w:t xml:space="preserve">selected neighboring cells. </w:t>
      </w:r>
    </w:p>
    <w:p>
      <w:pPr>
        <w:pStyle w:val="119"/>
        <w:numPr>
          <w:ilvl w:val="0"/>
          <w:numId w:val="19"/>
        </w:numPr>
        <w:tabs>
          <w:tab w:val="left" w:pos="400"/>
        </w:tabs>
        <w:snapToGrid w:val="0"/>
        <w:spacing w:before="120" w:after="120" w:line="300" w:lineRule="auto"/>
        <w:ind w:left="1200" w:hanging="1200" w:firstLineChars="0"/>
      </w:pPr>
      <w:r>
        <w:rPr>
          <w:rFonts w:hint="eastAsia"/>
        </w:rPr>
        <w:t>Method</w:t>
      </w:r>
      <w:r>
        <w:t>-</w:t>
      </w:r>
      <w:r>
        <w:rPr>
          <w:rFonts w:hint="eastAsia"/>
        </w:rPr>
        <w:t>3: The UE automatically initiates an L1 reporting for a neighboring cell which is selected by an L3 mobility measurement as shown in Figure 5. The L3 mobility measurement is used to monitor the quality of serving cell and select neighboring cell</w:t>
      </w:r>
      <w:r>
        <w:t>(s)</w:t>
      </w:r>
      <w:r>
        <w:rPr>
          <w:rFonts w:hint="eastAsia"/>
        </w:rPr>
        <w:t xml:space="preserve"> once the L3 mobility event occurs. The UE can automatically initiate an L1 reporting for a neighboring cell when the condition of L3 mobility measurements event is satisfied. The UE can report the L3 reporting or not report the L3 reporting while the UE reports the L1 reporting for the selected neighboring cells. In addition, since the neighboring cell is selected by the L3 mobility measurement, it</w:t>
      </w:r>
      <w:r>
        <w:t xml:space="preserve"> can </w:t>
      </w:r>
      <w:r>
        <w:rPr>
          <w:rFonts w:hint="eastAsia"/>
        </w:rPr>
        <w:t>avoid the ping-pang effect of selecting neighboring cell. The UE reports an L1 reporting for a neighboring cell in time and on demand.</w:t>
      </w:r>
    </w:p>
    <w:p>
      <w:pPr>
        <w:pStyle w:val="119"/>
        <w:numPr>
          <w:ilvl w:val="255"/>
          <w:numId w:val="0"/>
        </w:numPr>
        <w:snapToGrid w:val="0"/>
        <w:spacing w:before="120" w:after="120" w:line="300" w:lineRule="auto"/>
        <w:ind w:left="1200" w:hanging="1200" w:hangingChars="600"/>
        <w:jc w:val="center"/>
      </w:pPr>
      <w:r>
        <w:object>
          <v:shape id="_x0000_i1029" o:spt="75" type="#_x0000_t75" style="height:90.5pt;width:414.3pt;" o:ole="t" filled="f" o:preferrelative="t" stroked="f" coordsize="21600,21600">
            <v:path/>
            <v:fill on="f" focussize="0,0"/>
            <v:stroke on="f" joinstyle="miter"/>
            <v:imagedata r:id="rId21" o:title=""/>
            <o:lock v:ext="edit" aspectratio="t"/>
            <w10:wrap type="none"/>
            <w10:anchorlock/>
          </v:shape>
          <o:OLEObject Type="Embed" ProgID="Visio.Drawing.11" ShapeID="_x0000_i1029" DrawAspect="Content" ObjectID="_1468075729" r:id="rId20">
            <o:LockedField>false</o:LockedField>
          </o:OLEObject>
        </w:object>
      </w:r>
    </w:p>
    <w:p>
      <w:pPr>
        <w:numPr>
          <w:ilvl w:val="255"/>
          <w:numId w:val="0"/>
        </w:numPr>
        <w:overflowPunct w:val="0"/>
        <w:autoSpaceDE w:val="0"/>
        <w:autoSpaceDN w:val="0"/>
        <w:adjustRightInd w:val="0"/>
        <w:snapToGrid w:val="0"/>
        <w:spacing w:before="120" w:beforeLines="50" w:after="120" w:line="300" w:lineRule="auto"/>
        <w:jc w:val="center"/>
        <w:textAlignment w:val="baseline"/>
        <w:rPr>
          <w:bCs/>
        </w:rPr>
      </w:pPr>
      <w:r>
        <w:rPr>
          <w:b/>
        </w:rPr>
        <w:t xml:space="preserve">Figure </w:t>
      </w:r>
      <w:r>
        <w:rPr>
          <w:rFonts w:hint="eastAsia"/>
          <w:b/>
        </w:rPr>
        <w:t>5</w:t>
      </w:r>
      <w:r>
        <w:rPr>
          <w:bCs/>
        </w:rPr>
        <w:t xml:space="preserve"> </w:t>
      </w:r>
      <w:r>
        <w:rPr>
          <w:rFonts w:eastAsia="t"/>
          <w:bCs/>
        </w:rPr>
        <w:t>UE initia</w:t>
      </w:r>
      <w:r>
        <w:rPr>
          <w:bCs/>
        </w:rPr>
        <w:t>te</w:t>
      </w:r>
      <w:r>
        <w:rPr>
          <w:rFonts w:eastAsia="t"/>
          <w:bCs/>
        </w:rPr>
        <w:t>s a</w:t>
      </w:r>
      <w:r>
        <w:rPr>
          <w:bCs/>
        </w:rPr>
        <w:t>n</w:t>
      </w:r>
      <w:r>
        <w:rPr>
          <w:rFonts w:eastAsia="t"/>
          <w:bCs/>
        </w:rPr>
        <w:t xml:space="preserve"> L1 reporting for a neighboring cell if an L3 mobility measurement event </w:t>
      </w:r>
      <w:r>
        <w:rPr>
          <w:bCs/>
        </w:rPr>
        <w:t>occurs</w:t>
      </w:r>
    </w:p>
    <w:p>
      <w:pPr>
        <w:pStyle w:val="119"/>
        <w:numPr>
          <w:ilvl w:val="255"/>
          <w:numId w:val="0"/>
        </w:numPr>
        <w:snapToGrid w:val="0"/>
        <w:spacing w:before="120" w:after="120" w:line="300" w:lineRule="auto"/>
      </w:pPr>
      <w:r>
        <w:rPr>
          <w:rFonts w:hint="eastAsia"/>
        </w:rPr>
        <w:t xml:space="preserve">We prefer to adopt Method 2 and Method 3 to reduce the latency and overhead of signaling. Compared with Method 2, the latency of Method 3 can be smaller because the UE can initiate the L1 reporting for a neighboring cell without waiting for the signaling from gNB. </w:t>
      </w:r>
    </w:p>
    <w:p>
      <w:pPr>
        <w:pStyle w:val="119"/>
        <w:snapToGrid w:val="0"/>
        <w:spacing w:before="60" w:beforeLines="25" w:after="60" w:afterLines="25" w:line="300" w:lineRule="auto"/>
        <w:ind w:firstLine="0" w:firstLineChars="0"/>
        <w:rPr>
          <w:i/>
        </w:rPr>
      </w:pPr>
      <w:r>
        <w:rPr>
          <w:rFonts w:hint="eastAsia"/>
          <w:b/>
          <w:bCs/>
          <w:i/>
          <w:iCs/>
        </w:rPr>
        <w:t xml:space="preserve">Proposal </w:t>
      </w:r>
      <w:r>
        <w:rPr>
          <w:b/>
          <w:bCs/>
          <w:i/>
          <w:iCs/>
        </w:rPr>
        <w:t>4</w:t>
      </w:r>
      <w:r>
        <w:rPr>
          <w:rFonts w:hint="eastAsia"/>
          <w:b/>
          <w:bCs/>
          <w:i/>
          <w:iCs/>
        </w:rPr>
        <w:t xml:space="preserve">: </w:t>
      </w:r>
      <w:r>
        <w:rPr>
          <w:rFonts w:hint="eastAsia"/>
          <w:i/>
        </w:rPr>
        <w:t>UE automatically initiate</w:t>
      </w:r>
      <w:r>
        <w:rPr>
          <w:i/>
        </w:rPr>
        <w:t>s</w:t>
      </w:r>
      <w:r>
        <w:rPr>
          <w:rFonts w:hint="eastAsia"/>
          <w:i/>
        </w:rPr>
        <w:t xml:space="preserve"> an L1 reporting of neighboring cell when it detects </w:t>
      </w:r>
      <w:r>
        <w:rPr>
          <w:i/>
        </w:rPr>
        <w:t xml:space="preserve">that </w:t>
      </w:r>
      <w:r>
        <w:rPr>
          <w:rFonts w:hint="eastAsia"/>
          <w:i/>
        </w:rPr>
        <w:t>a</w:t>
      </w:r>
      <w:r>
        <w:rPr>
          <w:i/>
        </w:rPr>
        <w:t>n</w:t>
      </w:r>
      <w:r>
        <w:rPr>
          <w:rFonts w:hint="eastAsia"/>
          <w:i/>
        </w:rPr>
        <w:t xml:space="preserve"> L3 </w:t>
      </w:r>
      <w:r>
        <w:rPr>
          <w:i/>
        </w:rPr>
        <w:t>mobility</w:t>
      </w:r>
      <w:r>
        <w:rPr>
          <w:rFonts w:hint="eastAsia"/>
          <w:i/>
        </w:rPr>
        <w:t xml:space="preserve"> event happen</w:t>
      </w:r>
      <w:r>
        <w:rPr>
          <w:i/>
        </w:rPr>
        <w:t>s</w:t>
      </w:r>
      <w:r>
        <w:rPr>
          <w:rFonts w:hint="eastAsia"/>
          <w:i/>
        </w:rPr>
        <w:t>.</w:t>
      </w:r>
    </w:p>
    <w:p>
      <w:pPr>
        <w:pStyle w:val="119"/>
        <w:snapToGrid w:val="0"/>
        <w:spacing w:before="60" w:beforeLines="25" w:after="60" w:afterLines="25" w:line="300" w:lineRule="auto"/>
        <w:ind w:firstLine="0" w:firstLineChars="0"/>
        <w:rPr>
          <w:i/>
        </w:rPr>
      </w:pPr>
      <w:r>
        <w:rPr>
          <w:rFonts w:hint="eastAsia"/>
          <w:b/>
          <w:bCs/>
          <w:i/>
          <w:iCs/>
        </w:rPr>
        <w:t xml:space="preserve">Proposal </w:t>
      </w:r>
      <w:r>
        <w:rPr>
          <w:b/>
          <w:bCs/>
          <w:i/>
          <w:iCs/>
        </w:rPr>
        <w:t>5</w:t>
      </w:r>
      <w:r>
        <w:rPr>
          <w:rFonts w:hint="eastAsia"/>
          <w:b/>
          <w:bCs/>
          <w:i/>
          <w:iCs/>
        </w:rPr>
        <w:t xml:space="preserve">: </w:t>
      </w:r>
      <w:r>
        <w:rPr>
          <w:rFonts w:hint="eastAsia"/>
          <w:i/>
        </w:rPr>
        <w:t>gNB configures neighboring cell information for a</w:t>
      </w:r>
      <w:r>
        <w:rPr>
          <w:i/>
        </w:rPr>
        <w:t>n</w:t>
      </w:r>
      <w:r>
        <w:rPr>
          <w:rFonts w:hint="eastAsia"/>
          <w:i/>
        </w:rPr>
        <w:t xml:space="preserve"> L1 reporting using MAC-CE.</w:t>
      </w:r>
    </w:p>
    <w:p>
      <w:pPr>
        <w:snapToGrid w:val="0"/>
        <w:spacing w:before="60" w:beforeLines="25" w:after="60" w:afterLines="25" w:line="300" w:lineRule="auto"/>
        <w:rPr>
          <w:sz w:val="21"/>
        </w:rPr>
      </w:pPr>
      <w:r>
        <w:rPr>
          <w:rFonts w:hint="eastAsia"/>
          <w:sz w:val="21"/>
        </w:rPr>
        <w:t>In addition, when a serving cell is associated with more than one PCIs, the serving cell will be associated with more than one mobility measurement signal sets configured in MeasObject. The UE will determine whether a L3 mobility event happens based on quality of a serving cell which is a average value of qualities of a mobility RS set, but the serving cell is associated with two mobility RS sets each of which is associated with a PCI now. The PCI of a measurement signal set on which the quality of the serving cell is measured should be clarified.</w:t>
      </w:r>
    </w:p>
    <w:p>
      <w:pPr>
        <w:pStyle w:val="119"/>
        <w:snapToGrid w:val="0"/>
        <w:spacing w:before="60" w:beforeLines="25" w:after="60" w:afterLines="25" w:line="300" w:lineRule="auto"/>
        <w:ind w:firstLine="0" w:firstLineChars="0"/>
        <w:rPr>
          <w:i/>
        </w:rPr>
      </w:pPr>
      <w:r>
        <w:rPr>
          <w:rFonts w:hint="eastAsia"/>
          <w:b/>
          <w:bCs/>
          <w:i/>
          <w:iCs/>
        </w:rPr>
        <w:t xml:space="preserve">Proposal </w:t>
      </w:r>
      <w:r>
        <w:rPr>
          <w:b/>
          <w:bCs/>
          <w:i/>
          <w:iCs/>
        </w:rPr>
        <w:t>6</w:t>
      </w:r>
      <w:r>
        <w:rPr>
          <w:rFonts w:hint="eastAsia"/>
          <w:b/>
          <w:bCs/>
          <w:i/>
          <w:iCs/>
        </w:rPr>
        <w:t>:</w:t>
      </w:r>
      <w:r>
        <w:rPr>
          <w:b/>
          <w:bCs/>
          <w:i/>
          <w:iCs/>
        </w:rPr>
        <w:t xml:space="preserve"> </w:t>
      </w:r>
      <w:r>
        <w:rPr>
          <w:rFonts w:hint="eastAsia"/>
          <w:i/>
        </w:rPr>
        <w:t>When a serving cell is associated with multiple mobility RS sets corresponding to multiple PCIs, the PCI of a measurement signal set on which the quality of the serving cell is got should be clarified.</w:t>
      </w:r>
    </w:p>
    <w:p>
      <w:pPr>
        <w:pStyle w:val="2"/>
        <w:spacing w:before="240" w:after="120"/>
        <w:ind w:left="0" w:firstLine="0"/>
        <w:rPr>
          <w:lang w:val="en-US"/>
        </w:rPr>
      </w:pPr>
      <w:r>
        <w:rPr>
          <w:rFonts w:hint="eastAsia"/>
          <w:lang w:val="en-US"/>
        </w:rPr>
        <w:t>Further details on TRP-Specific BFR</w:t>
      </w:r>
    </w:p>
    <w:p>
      <w:pPr>
        <w:numPr>
          <w:ilvl w:val="255"/>
          <w:numId w:val="0"/>
        </w:numPr>
        <w:spacing w:after="120"/>
      </w:pPr>
      <w:r>
        <w:rPr>
          <w:rFonts w:hint="eastAsia"/>
        </w:rPr>
        <w:t>As discussed in our contribution [3], w</w:t>
      </w:r>
      <w:r>
        <w:t xml:space="preserve">hen </w:t>
      </w:r>
      <w:r>
        <w:rPr>
          <w:rFonts w:hint="eastAsia"/>
        </w:rPr>
        <w:t xml:space="preserve">the </w:t>
      </w:r>
      <w:r>
        <w:t>UE report</w:t>
      </w:r>
      <w:r>
        <w:rPr>
          <w:rFonts w:hint="eastAsia"/>
        </w:rPr>
        <w:t>s two</w:t>
      </w:r>
      <w:r>
        <w:t xml:space="preserve"> q_new</w:t>
      </w:r>
      <w:r>
        <w:rPr>
          <w:rFonts w:hint="eastAsia"/>
        </w:rPr>
        <w:t>s each of which is for a TRP</w:t>
      </w:r>
      <w:r>
        <w:t xml:space="preserve">, both separate </w:t>
      </w:r>
      <w:r>
        <w:rPr>
          <w:rFonts w:hint="eastAsia"/>
        </w:rPr>
        <w:t xml:space="preserve">BFR MAC-CE </w:t>
      </w:r>
      <w:r>
        <w:t xml:space="preserve">and </w:t>
      </w:r>
      <w:r>
        <w:rPr>
          <w:rFonts w:hint="eastAsia"/>
        </w:rPr>
        <w:t>j</w:t>
      </w:r>
      <w:r>
        <w:t>oint</w:t>
      </w:r>
      <w:r>
        <w:rPr>
          <w:rFonts w:hint="eastAsia"/>
        </w:rPr>
        <w:t xml:space="preserve"> BFR MAC-CE</w:t>
      </w:r>
      <w:r>
        <w:t xml:space="preserve"> should be s</w:t>
      </w:r>
      <w:r>
        <w:rPr>
          <w:rFonts w:hint="eastAsia"/>
        </w:rPr>
        <w:t>upported</w:t>
      </w:r>
      <w:r>
        <w:t xml:space="preserve">. </w:t>
      </w:r>
      <w:r>
        <w:rPr>
          <w:rFonts w:hint="eastAsia"/>
        </w:rPr>
        <w:t xml:space="preserve">In this section, we give more details of the separate BFR MAC-CE and joint BFR MAC-CE. </w:t>
      </w:r>
    </w:p>
    <w:p>
      <w:pPr>
        <w:pStyle w:val="129"/>
        <w:numPr>
          <w:ilvl w:val="0"/>
          <w:numId w:val="17"/>
        </w:numPr>
        <w:spacing w:after="120"/>
      </w:pPr>
      <w:r>
        <w:rPr>
          <w:rFonts w:hint="eastAsia"/>
        </w:rPr>
        <w:t xml:space="preserve">A separate </w:t>
      </w:r>
      <w:r>
        <w:t xml:space="preserve">BFR MAC-CE includes beam failure information </w:t>
      </w:r>
      <w:r>
        <w:rPr>
          <w:rFonts w:hint="eastAsia"/>
        </w:rPr>
        <w:t>of</w:t>
      </w:r>
      <w:r>
        <w:t xml:space="preserve"> only one TRP</w:t>
      </w:r>
      <w:r>
        <w:rPr>
          <w:rFonts w:hint="eastAsia"/>
        </w:rPr>
        <w:t>,</w:t>
      </w:r>
      <w:r>
        <w:t xml:space="preserve"> and beam failure information for different TRPs are in different BFR MAC-CE</w:t>
      </w:r>
      <w:r>
        <w:rPr>
          <w:rFonts w:hint="eastAsia"/>
        </w:rPr>
        <w:t>s as shown in Figure 6. Only one of TRP index, such as CORESET pool index, needs to be included in the separate BFR MAC-CE. If the failed TRP doesn</w:t>
      </w:r>
      <w:r>
        <w:t>’</w:t>
      </w:r>
      <w:r>
        <w:rPr>
          <w:rFonts w:hint="eastAsia"/>
        </w:rPr>
        <w:t>t fail on the SPCell, the s</w:t>
      </w:r>
      <w:r>
        <w:t>eparate BFR MAC-CE</w:t>
      </w:r>
      <w:r>
        <w:rPr>
          <w:rFonts w:hint="eastAsia"/>
        </w:rPr>
        <w:t xml:space="preserve"> can be successfully transmitted to the failed TRP on SPCell, otherwise the separate BFR MAC-CE can be in msg3/msgA. It</w:t>
      </w:r>
      <w:r>
        <w:t xml:space="preserve"> requires no communication between TRPs</w:t>
      </w:r>
      <w:r>
        <w:rPr>
          <w:rFonts w:hint="eastAsia"/>
        </w:rPr>
        <w:t xml:space="preserve">, and the failed TRP can be recovered quickly. </w:t>
      </w:r>
    </w:p>
    <w:p>
      <w:pPr>
        <w:pStyle w:val="129"/>
        <w:numPr>
          <w:ilvl w:val="0"/>
          <w:numId w:val="17"/>
        </w:numPr>
        <w:spacing w:after="120"/>
      </w:pPr>
      <w:r>
        <w:rPr>
          <w:rFonts w:hint="eastAsia"/>
        </w:rPr>
        <w:t>A joint</w:t>
      </w:r>
      <w:r>
        <w:t xml:space="preserve"> BFR MAC-CE includes beam failure information </w:t>
      </w:r>
      <w:r>
        <w:rPr>
          <w:rFonts w:hint="eastAsia"/>
        </w:rPr>
        <w:t>of</w:t>
      </w:r>
      <w:r>
        <w:t xml:space="preserve"> more than one TRP</w:t>
      </w:r>
      <w:r>
        <w:rPr>
          <w:rFonts w:hint="eastAsia"/>
        </w:rPr>
        <w:t>s as shown in Figure 7</w:t>
      </w:r>
      <w:r>
        <w:t xml:space="preserve">. </w:t>
      </w:r>
      <w:r>
        <w:rPr>
          <w:rFonts w:hint="eastAsia"/>
        </w:rPr>
        <w:t xml:space="preserve">There are two serving cell indication bitmaps. The two bitmaps corresponds two TRPs, such as two CORESET pool indexes. Joint BFR MAC-CE requires communication between </w:t>
      </w:r>
      <w:r>
        <w:t xml:space="preserve">TRPs and is suitable when </w:t>
      </w:r>
      <w:r>
        <w:rPr>
          <w:rFonts w:hint="eastAsia"/>
        </w:rPr>
        <w:t>the failed</w:t>
      </w:r>
      <w:r>
        <w:t xml:space="preserve"> TRP</w:t>
      </w:r>
      <w:r>
        <w:rPr>
          <w:rFonts w:hint="eastAsia"/>
        </w:rPr>
        <w:t xml:space="preserve"> fails on all </w:t>
      </w:r>
      <w:r>
        <w:t>serving cell</w:t>
      </w:r>
      <w:r>
        <w:rPr>
          <w:rFonts w:hint="eastAsia"/>
        </w:rPr>
        <w:t xml:space="preserve">s of an MCG/SCG. Further, it requires only one SPCell PRACH if both SPCell TRP fail. </w:t>
      </w:r>
    </w:p>
    <w:p>
      <w:pPr>
        <w:numPr>
          <w:ilvl w:val="255"/>
          <w:numId w:val="0"/>
        </w:numPr>
        <w:spacing w:after="120"/>
        <w:jc w:val="center"/>
      </w:pPr>
      <w:r>
        <w:object>
          <v:shape id="_x0000_i1030" o:spt="75" type="#_x0000_t75" style="height:159.4pt;width:361.55pt;" o:ole="t" filled="f" o:preferrelative="t" stroked="f" coordsize="21600,21600">
            <v:path/>
            <v:fill on="f" focussize="0,0"/>
            <v:stroke on="f" joinstyle="miter"/>
            <v:imagedata r:id="rId23" o:title=""/>
            <o:lock v:ext="edit" aspectratio="t"/>
            <w10:wrap type="none"/>
            <w10:anchorlock/>
          </v:shape>
          <o:OLEObject Type="Embed" ProgID="Visio.Drawing.11" ShapeID="_x0000_i1030" DrawAspect="Content" ObjectID="_1468075730" r:id="rId22">
            <o:LockedField>false</o:LockedField>
          </o:OLEObject>
        </w:object>
      </w:r>
    </w:p>
    <w:p>
      <w:pPr>
        <w:pStyle w:val="119"/>
        <w:snapToGrid w:val="0"/>
        <w:spacing w:before="60" w:beforeLines="25" w:after="60" w:afterLines="25" w:line="300" w:lineRule="auto"/>
        <w:ind w:firstLine="0" w:firstLineChars="0"/>
        <w:jc w:val="center"/>
        <w:rPr>
          <w:rFonts w:eastAsia="t"/>
          <w:bCs/>
          <w:sz w:val="21"/>
          <w:szCs w:val="22"/>
        </w:rPr>
      </w:pPr>
      <w:r>
        <w:rPr>
          <w:b/>
        </w:rPr>
        <w:t xml:space="preserve">Figure </w:t>
      </w:r>
      <w:r>
        <w:rPr>
          <w:rFonts w:hint="eastAsia"/>
          <w:b/>
        </w:rPr>
        <w:t xml:space="preserve">6 </w:t>
      </w:r>
      <w:r>
        <w:rPr>
          <w:rFonts w:eastAsia="t"/>
          <w:bCs/>
          <w:sz w:val="21"/>
          <w:szCs w:val="22"/>
        </w:rPr>
        <w:t>Separate MAC-CE for TRP-Specific BFR</w:t>
      </w:r>
    </w:p>
    <w:p>
      <w:pPr>
        <w:pStyle w:val="119"/>
        <w:snapToGrid w:val="0"/>
        <w:spacing w:before="60" w:beforeLines="25" w:after="60" w:afterLines="25" w:line="300" w:lineRule="auto"/>
        <w:ind w:firstLine="0" w:firstLineChars="0"/>
        <w:jc w:val="center"/>
      </w:pPr>
      <w:r>
        <w:object>
          <v:shape id="_x0000_i1031" o:spt="75" type="#_x0000_t75" style="height:221.4pt;width:398.5pt;" o:ole="t" filled="f" o:preferrelative="t" stroked="f" coordsize="21600,21600">
            <v:path/>
            <v:fill on="f" focussize="0,0"/>
            <v:stroke on="f" joinstyle="miter"/>
            <v:imagedata r:id="rId25" o:title=""/>
            <o:lock v:ext="edit" aspectratio="t"/>
            <w10:wrap type="none"/>
            <w10:anchorlock/>
          </v:shape>
          <o:OLEObject Type="Embed" ProgID="Visio.Drawing.11" ShapeID="_x0000_i1031" DrawAspect="Content" ObjectID="_1468075731" r:id="rId24">
            <o:LockedField>false</o:LockedField>
          </o:OLEObject>
        </w:object>
      </w:r>
    </w:p>
    <w:p>
      <w:pPr>
        <w:pStyle w:val="119"/>
        <w:numPr>
          <w:ilvl w:val="255"/>
          <w:numId w:val="0"/>
        </w:numPr>
        <w:snapToGrid w:val="0"/>
        <w:spacing w:before="60" w:beforeLines="25" w:after="60" w:afterLines="25" w:line="300" w:lineRule="auto"/>
        <w:jc w:val="center"/>
      </w:pPr>
      <w:r>
        <w:rPr>
          <w:b/>
        </w:rPr>
        <w:t xml:space="preserve">Figure </w:t>
      </w:r>
      <w:r>
        <w:rPr>
          <w:rFonts w:hint="eastAsia"/>
          <w:b/>
        </w:rPr>
        <w:t xml:space="preserve">7: </w:t>
      </w:r>
      <w:r>
        <w:rPr>
          <w:rFonts w:eastAsia="t"/>
          <w:bCs/>
          <w:sz w:val="21"/>
          <w:szCs w:val="22"/>
        </w:rPr>
        <w:t>Joint MAC-CE for TRP-Specific BFR</w:t>
      </w:r>
    </w:p>
    <w:p>
      <w:pPr>
        <w:pStyle w:val="119"/>
        <w:snapToGrid w:val="0"/>
        <w:spacing w:before="60" w:beforeLines="25" w:after="60" w:afterLines="25" w:line="300" w:lineRule="auto"/>
        <w:ind w:firstLine="0" w:firstLineChars="0"/>
        <w:rPr>
          <w:b/>
          <w:i/>
        </w:rPr>
      </w:pPr>
      <w:r>
        <w:rPr>
          <w:b/>
          <w:i/>
        </w:rPr>
        <w:t xml:space="preserve">Proposal 7: </w:t>
      </w:r>
      <w:r>
        <w:rPr>
          <w:rFonts w:hint="eastAsia"/>
          <w:b/>
          <w:i/>
        </w:rPr>
        <w:t xml:space="preserve"> </w:t>
      </w:r>
      <w:r>
        <w:rPr>
          <w:rFonts w:hint="eastAsia"/>
          <w:bCs/>
          <w:i/>
        </w:rPr>
        <w:t xml:space="preserve">Support separate BFR MAC-CE and </w:t>
      </w:r>
      <w:r>
        <w:rPr>
          <w:bCs/>
          <w:i/>
        </w:rPr>
        <w:t>j</w:t>
      </w:r>
      <w:r>
        <w:rPr>
          <w:rFonts w:hint="eastAsia"/>
          <w:bCs/>
          <w:i/>
        </w:rPr>
        <w:t>oint BFR MAC-CE,</w:t>
      </w:r>
      <w:r>
        <w:rPr>
          <w:bCs/>
          <w:i/>
        </w:rPr>
        <w:t xml:space="preserve"> </w:t>
      </w:r>
      <w:r>
        <w:rPr>
          <w:rFonts w:hint="eastAsia"/>
          <w:bCs/>
          <w:i/>
        </w:rPr>
        <w:t xml:space="preserve">wherein only one CORESET pool index is in the separate BFR MAC-CE and two serving cell indication bitmaps each of which corresponds to a CORESET pool index are in a joint BFR MAC-CE. </w:t>
      </w:r>
    </w:p>
    <w:p>
      <w:pPr>
        <w:snapToGrid w:val="0"/>
        <w:spacing w:before="60" w:beforeLines="25" w:after="60" w:afterLines="25" w:line="300" w:lineRule="auto"/>
        <w:rPr>
          <w:sz w:val="21"/>
        </w:rPr>
      </w:pPr>
      <w:r>
        <w:rPr>
          <w:sz w:val="21"/>
        </w:rPr>
        <w:t>Considering that t</w:t>
      </w:r>
      <w:r>
        <w:rPr>
          <w:rFonts w:hint="eastAsia"/>
          <w:sz w:val="21"/>
        </w:rPr>
        <w:t xml:space="preserve">he UE can report L1 measurement for neighboring cell, the </w:t>
      </w:r>
      <w:r>
        <w:rPr>
          <w:sz w:val="21"/>
        </w:rPr>
        <w:t>beams</w:t>
      </w:r>
      <w:r>
        <w:rPr>
          <w:rFonts w:hint="eastAsia"/>
          <w:sz w:val="21"/>
        </w:rPr>
        <w:t xml:space="preserve"> of the neighboring cell </w:t>
      </w:r>
      <w:r>
        <w:rPr>
          <w:sz w:val="21"/>
        </w:rPr>
        <w:t>can be also included in</w:t>
      </w:r>
      <w:r>
        <w:rPr>
          <w:rFonts w:hint="eastAsia"/>
          <w:sz w:val="21"/>
        </w:rPr>
        <w:t xml:space="preserve"> a BFR candidate RS set q_1 </w:t>
      </w:r>
      <w:r>
        <w:rPr>
          <w:sz w:val="21"/>
        </w:rPr>
        <w:t>that comprises two candidate RS subset q</w:t>
      </w:r>
      <w:r>
        <w:rPr>
          <w:sz w:val="21"/>
          <w:vertAlign w:val="subscript"/>
        </w:rPr>
        <w:t>11</w:t>
      </w:r>
      <w:r>
        <w:rPr>
          <w:sz w:val="21"/>
        </w:rPr>
        <w:t xml:space="preserve"> and q</w:t>
      </w:r>
      <w:r>
        <w:rPr>
          <w:sz w:val="21"/>
          <w:vertAlign w:val="subscript"/>
        </w:rPr>
        <w:t>12</w:t>
      </w:r>
      <w:r>
        <w:rPr>
          <w:sz w:val="21"/>
        </w:rPr>
        <w:t xml:space="preserve"> for each of TRPs.  </w:t>
      </w:r>
      <w:r>
        <w:rPr>
          <w:rFonts w:hint="eastAsia"/>
          <w:sz w:val="21"/>
        </w:rPr>
        <w:t xml:space="preserve">Even without multi-TRPs, a q_0 can be associated with two candidate RS sets each of which is associated with a PCI </w:t>
      </w:r>
      <w:r>
        <w:rPr>
          <w:sz w:val="21"/>
        </w:rPr>
        <w:t>respectively. When</w:t>
      </w:r>
      <w:r>
        <w:rPr>
          <w:rFonts w:hint="eastAsia"/>
          <w:sz w:val="21"/>
        </w:rPr>
        <w:t xml:space="preserve"> beam failure is detected for a serving cell, the UE first</w:t>
      </w:r>
      <w:r>
        <w:rPr>
          <w:sz w:val="21"/>
        </w:rPr>
        <w:t xml:space="preserve"> </w:t>
      </w:r>
      <w:r>
        <w:rPr>
          <w:rFonts w:hint="eastAsia"/>
          <w:sz w:val="21"/>
        </w:rPr>
        <w:t>selects q</w:t>
      </w:r>
      <w:r>
        <w:rPr>
          <w:rFonts w:hint="eastAsia"/>
          <w:sz w:val="21"/>
          <w:vertAlign w:val="subscript"/>
        </w:rPr>
        <w:t xml:space="preserve">new </w:t>
      </w:r>
      <w:r>
        <w:rPr>
          <w:rFonts w:hint="eastAsia"/>
          <w:sz w:val="21"/>
        </w:rPr>
        <w:t xml:space="preserve">from a first candidate RS </w:t>
      </w:r>
      <w:r>
        <w:rPr>
          <w:sz w:val="21"/>
        </w:rPr>
        <w:t>sub</w:t>
      </w:r>
      <w:r>
        <w:rPr>
          <w:rFonts w:hint="eastAsia"/>
          <w:sz w:val="21"/>
        </w:rPr>
        <w:t>set q</w:t>
      </w:r>
      <w:r>
        <w:rPr>
          <w:rFonts w:hint="eastAsia"/>
          <w:sz w:val="21"/>
          <w:vertAlign w:val="subscript"/>
        </w:rPr>
        <w:t xml:space="preserve">11 </w:t>
      </w:r>
      <w:r>
        <w:rPr>
          <w:rFonts w:hint="eastAsia"/>
          <w:sz w:val="21"/>
        </w:rPr>
        <w:t>with a first PCI, then selects q</w:t>
      </w:r>
      <w:r>
        <w:rPr>
          <w:rFonts w:hint="eastAsia"/>
          <w:sz w:val="21"/>
          <w:vertAlign w:val="subscript"/>
        </w:rPr>
        <w:t xml:space="preserve">new </w:t>
      </w:r>
      <w:r>
        <w:rPr>
          <w:rFonts w:hint="eastAsia"/>
          <w:sz w:val="21"/>
        </w:rPr>
        <w:t xml:space="preserve">from a second candidate RS </w:t>
      </w:r>
      <w:r>
        <w:rPr>
          <w:sz w:val="21"/>
        </w:rPr>
        <w:t>sub</w:t>
      </w:r>
      <w:r>
        <w:rPr>
          <w:rFonts w:hint="eastAsia"/>
          <w:sz w:val="21"/>
        </w:rPr>
        <w:t>set q</w:t>
      </w:r>
      <w:r>
        <w:rPr>
          <w:rFonts w:hint="eastAsia"/>
          <w:sz w:val="21"/>
          <w:vertAlign w:val="subscript"/>
        </w:rPr>
        <w:t xml:space="preserve">12 </w:t>
      </w:r>
      <w:r>
        <w:rPr>
          <w:rFonts w:hint="eastAsia"/>
          <w:sz w:val="21"/>
        </w:rPr>
        <w:t>with PCI 2 if</w:t>
      </w:r>
      <w:r>
        <w:rPr>
          <w:sz w:val="21"/>
        </w:rPr>
        <w:t xml:space="preserve"> channel</w:t>
      </w:r>
      <w:r>
        <w:rPr>
          <w:rFonts w:hint="eastAsia"/>
          <w:sz w:val="21"/>
        </w:rPr>
        <w:t xml:space="preserve"> qualit</w:t>
      </w:r>
      <w:r>
        <w:rPr>
          <w:sz w:val="21"/>
        </w:rPr>
        <w:t>ies</w:t>
      </w:r>
      <w:r>
        <w:rPr>
          <w:rFonts w:hint="eastAsia"/>
          <w:sz w:val="21"/>
        </w:rPr>
        <w:t xml:space="preserve"> of all RSs in q</w:t>
      </w:r>
      <w:r>
        <w:rPr>
          <w:rFonts w:hint="eastAsia"/>
          <w:sz w:val="21"/>
          <w:vertAlign w:val="subscript"/>
        </w:rPr>
        <w:t>11</w:t>
      </w:r>
      <w:r>
        <w:rPr>
          <w:rFonts w:hint="eastAsia"/>
          <w:sz w:val="21"/>
        </w:rPr>
        <w:t xml:space="preserve"> </w:t>
      </w:r>
      <w:r>
        <w:rPr>
          <w:sz w:val="21"/>
        </w:rPr>
        <w:t>are</w:t>
      </w:r>
      <w:r>
        <w:rPr>
          <w:rFonts w:hint="eastAsia"/>
          <w:sz w:val="21"/>
        </w:rPr>
        <w:t xml:space="preserve"> lower than a threshold.  </w:t>
      </w:r>
    </w:p>
    <w:p>
      <w:pPr>
        <w:pStyle w:val="119"/>
        <w:snapToGrid w:val="0"/>
        <w:spacing w:before="60" w:beforeLines="25" w:after="60" w:afterLines="25" w:line="300" w:lineRule="auto"/>
        <w:ind w:firstLine="0" w:firstLineChars="0"/>
        <w:rPr>
          <w:i/>
        </w:rPr>
      </w:pPr>
      <w:r>
        <w:rPr>
          <w:rFonts w:hint="eastAsia"/>
          <w:b/>
          <w:bCs/>
          <w:i/>
          <w:iCs/>
        </w:rPr>
        <w:t xml:space="preserve">Proposal </w:t>
      </w:r>
      <w:r>
        <w:rPr>
          <w:b/>
          <w:bCs/>
          <w:i/>
          <w:iCs/>
        </w:rPr>
        <w:t>8</w:t>
      </w:r>
      <w:r>
        <w:rPr>
          <w:rFonts w:hint="eastAsia"/>
          <w:b/>
          <w:bCs/>
          <w:i/>
          <w:iCs/>
        </w:rPr>
        <w:t xml:space="preserve">: </w:t>
      </w:r>
      <w:r>
        <w:rPr>
          <w:rFonts w:hint="eastAsia"/>
          <w:bCs/>
          <w:i/>
        </w:rPr>
        <w:t xml:space="preserve">PCI can be configured for </w:t>
      </w:r>
      <w:r>
        <w:rPr>
          <w:bCs/>
          <w:i/>
        </w:rPr>
        <w:t xml:space="preserve">TRP-specific </w:t>
      </w:r>
      <w:r>
        <w:rPr>
          <w:rFonts w:hint="eastAsia"/>
          <w:bCs/>
          <w:i/>
        </w:rPr>
        <w:t>BFR candidate RS set</w:t>
      </w:r>
      <w:r>
        <w:rPr>
          <w:bCs/>
          <w:i/>
        </w:rPr>
        <w:t>(s)</w:t>
      </w:r>
      <w:r>
        <w:rPr>
          <w:rFonts w:hint="eastAsia"/>
          <w:bCs/>
          <w:i/>
        </w:rPr>
        <w:t xml:space="preserve">. </w:t>
      </w:r>
    </w:p>
    <w:p>
      <w:pPr>
        <w:pStyle w:val="2"/>
        <w:tabs>
          <w:tab w:val="clear" w:pos="432"/>
        </w:tabs>
        <w:snapToGrid w:val="0"/>
        <w:spacing w:before="120" w:beforeLines="50" w:after="120"/>
        <w:rPr>
          <w:sz w:val="28"/>
          <w:lang w:val="en-US"/>
        </w:rPr>
      </w:pPr>
      <w:r>
        <w:rPr>
          <w:sz w:val="28"/>
          <w:lang w:val="en-US"/>
        </w:rPr>
        <w:t>Conclusion</w:t>
      </w:r>
    </w:p>
    <w:p>
      <w:pPr>
        <w:widowControl w:val="0"/>
        <w:snapToGrid w:val="0"/>
        <w:spacing w:before="120" w:after="120" w:line="240" w:lineRule="auto"/>
        <w:rPr>
          <w:rFonts w:eastAsia="微软雅黑"/>
        </w:rPr>
      </w:pPr>
      <w:r>
        <w:rPr>
          <w:rFonts w:hint="eastAsia" w:eastAsia="微软雅黑"/>
        </w:rPr>
        <w:t>I</w:t>
      </w:r>
      <w:r>
        <w:rPr>
          <w:rFonts w:eastAsia="微软雅黑"/>
        </w:rPr>
        <w:t xml:space="preserve">n this contribution, we discuss </w:t>
      </w:r>
      <w:r>
        <w:rPr>
          <w:rFonts w:hint="eastAsia" w:eastAsia="微软雅黑"/>
        </w:rPr>
        <w:t xml:space="preserve">some further details and </w:t>
      </w:r>
      <w:r>
        <w:rPr>
          <w:rFonts w:eastAsia="微软雅黑"/>
        </w:rPr>
        <w:t>remaining issue</w:t>
      </w:r>
      <w:r>
        <w:rPr>
          <w:rFonts w:hint="eastAsia" w:eastAsia="微软雅黑"/>
        </w:rPr>
        <w:t>s</w:t>
      </w:r>
      <w:r>
        <w:rPr>
          <w:rFonts w:eastAsia="微软雅黑"/>
        </w:rPr>
        <w:t xml:space="preserve"> of m</w:t>
      </w:r>
      <w:r>
        <w:rPr>
          <w:rFonts w:hint="eastAsia" w:eastAsia="微软雅黑"/>
        </w:rPr>
        <w:t xml:space="preserve">ulti-beam and </w:t>
      </w:r>
      <w:r>
        <w:rPr>
          <w:rFonts w:eastAsia="微软雅黑"/>
        </w:rPr>
        <w:t>m</w:t>
      </w:r>
      <w:r>
        <w:rPr>
          <w:rFonts w:hint="eastAsia" w:eastAsia="微软雅黑"/>
        </w:rPr>
        <w:t>ulti-TRP operation</w:t>
      </w:r>
      <w:r>
        <w:rPr>
          <w:rFonts w:eastAsia="微软雅黑"/>
        </w:rPr>
        <w:t xml:space="preserve">. The following </w:t>
      </w:r>
      <w:r>
        <w:rPr>
          <w:rFonts w:hint="eastAsia" w:eastAsia="微软雅黑"/>
        </w:rPr>
        <w:t xml:space="preserve">observations and </w:t>
      </w:r>
      <w:r>
        <w:rPr>
          <w:rFonts w:eastAsia="微软雅黑"/>
        </w:rPr>
        <w:t>proposal</w:t>
      </w:r>
      <w:r>
        <w:rPr>
          <w:rFonts w:hint="eastAsia" w:eastAsia="微软雅黑"/>
        </w:rPr>
        <w:t>s are</w:t>
      </w:r>
      <w:r>
        <w:rPr>
          <w:rFonts w:eastAsia="微软雅黑"/>
        </w:rPr>
        <w:t xml:space="preserve"> given</w:t>
      </w:r>
      <w:r>
        <w:rPr>
          <w:rFonts w:hint="eastAsia" w:eastAsia="微软雅黑"/>
        </w:rPr>
        <w:t xml:space="preserve"> as follows</w:t>
      </w:r>
      <w:r>
        <w:rPr>
          <w:rFonts w:eastAsia="微软雅黑"/>
        </w:rPr>
        <w:t>.</w:t>
      </w:r>
    </w:p>
    <w:p>
      <w:pPr>
        <w:spacing w:after="120"/>
        <w:rPr>
          <w:rFonts w:eastAsia="微软雅黑"/>
          <w:i/>
          <w:iCs/>
        </w:rPr>
      </w:pPr>
      <w:r>
        <w:rPr>
          <w:rFonts w:hint="eastAsia" w:eastAsia="微软雅黑"/>
          <w:b/>
          <w:bCs/>
          <w:i/>
          <w:iCs/>
        </w:rPr>
        <w:t>Proposal 1:</w:t>
      </w:r>
      <w:r>
        <w:rPr>
          <w:rFonts w:hint="eastAsia" w:eastAsia="微软雅黑"/>
          <w:i/>
          <w:iCs/>
        </w:rPr>
        <w:t xml:space="preserve"> Regarding the unified TCI state/</w:t>
      </w:r>
      <w:r>
        <w:rPr>
          <w:rFonts w:eastAsia="微软雅黑"/>
          <w:i/>
          <w:iCs/>
        </w:rPr>
        <w:t>codepoint</w:t>
      </w:r>
      <w:r>
        <w:rPr>
          <w:rFonts w:hint="eastAsia" w:eastAsia="微软雅黑"/>
          <w:i/>
          <w:iCs/>
        </w:rPr>
        <w:t xml:space="preserve"> applied to the target channel/signal,</w:t>
      </w:r>
    </w:p>
    <w:p>
      <w:pPr>
        <w:numPr>
          <w:ilvl w:val="0"/>
          <w:numId w:val="10"/>
        </w:numPr>
        <w:overflowPunct w:val="0"/>
        <w:autoSpaceDE w:val="0"/>
        <w:autoSpaceDN w:val="0"/>
        <w:adjustRightInd w:val="0"/>
        <w:spacing w:before="120" w:beforeLines="50" w:after="120" w:afterLines="0" w:line="300" w:lineRule="auto"/>
        <w:textAlignment w:val="baseline"/>
        <w:rPr>
          <w:i/>
        </w:rPr>
      </w:pPr>
      <w:r>
        <w:rPr>
          <w:rFonts w:hint="eastAsia"/>
          <w:i/>
        </w:rPr>
        <w:t>TRP</w:t>
      </w:r>
      <w:r>
        <w:rPr>
          <w:i/>
        </w:rPr>
        <w:t xml:space="preserve"> ID</w:t>
      </w:r>
      <w:r>
        <w:rPr>
          <w:rFonts w:hint="eastAsia"/>
          <w:i/>
        </w:rPr>
        <w:t xml:space="preserve"> information should be tied to </w:t>
      </w:r>
      <w:r>
        <w:rPr>
          <w:i/>
        </w:rPr>
        <w:t>a</w:t>
      </w:r>
      <w:r>
        <w:rPr>
          <w:rFonts w:hint="eastAsia"/>
          <w:i/>
        </w:rPr>
        <w:t xml:space="preserve"> unified TCI state</w:t>
      </w:r>
      <w:r>
        <w:rPr>
          <w:i/>
        </w:rPr>
        <w:t xml:space="preserve"> as well as a target channel/signal</w:t>
      </w:r>
      <w:r>
        <w:rPr>
          <w:rFonts w:hint="eastAsia"/>
          <w:i/>
        </w:rPr>
        <w:t>;</w:t>
      </w:r>
    </w:p>
    <w:p>
      <w:pPr>
        <w:numPr>
          <w:ilvl w:val="0"/>
          <w:numId w:val="10"/>
        </w:numPr>
        <w:overflowPunct w:val="0"/>
        <w:autoSpaceDE w:val="0"/>
        <w:autoSpaceDN w:val="0"/>
        <w:adjustRightInd w:val="0"/>
        <w:spacing w:before="120" w:beforeLines="50" w:after="120" w:afterLines="0" w:line="300" w:lineRule="auto"/>
        <w:textAlignment w:val="baseline"/>
        <w:rPr>
          <w:i/>
        </w:rPr>
      </w:pPr>
      <w:r>
        <w:rPr>
          <w:i/>
        </w:rPr>
        <w:t xml:space="preserve">When indicated, the unified </w:t>
      </w:r>
      <w:r>
        <w:rPr>
          <w:rFonts w:hint="eastAsia"/>
          <w:i/>
        </w:rPr>
        <w:t xml:space="preserve">TCI state can be </w:t>
      </w:r>
      <w:r>
        <w:rPr>
          <w:i/>
        </w:rPr>
        <w:t xml:space="preserve">applied to </w:t>
      </w:r>
      <w:r>
        <w:rPr>
          <w:rFonts w:hint="eastAsia"/>
          <w:i/>
        </w:rPr>
        <w:t>the target channel/signal</w:t>
      </w:r>
      <w:r>
        <w:rPr>
          <w:i/>
        </w:rPr>
        <w:t xml:space="preserve"> that shares the same TRP ID information as the unified TCI state</w:t>
      </w:r>
      <w:r>
        <w:rPr>
          <w:rFonts w:hint="eastAsia"/>
          <w:i/>
        </w:rPr>
        <w:t>.</w:t>
      </w:r>
    </w:p>
    <w:p>
      <w:pPr>
        <w:pStyle w:val="119"/>
        <w:tabs>
          <w:tab w:val="left" w:pos="400"/>
        </w:tabs>
        <w:overflowPunct w:val="0"/>
        <w:autoSpaceDE w:val="0"/>
        <w:autoSpaceDN w:val="0"/>
        <w:adjustRightInd w:val="0"/>
        <w:snapToGrid w:val="0"/>
        <w:spacing w:before="60" w:beforeLines="25" w:after="120" w:line="300" w:lineRule="auto"/>
        <w:ind w:firstLine="0" w:firstLineChars="0"/>
        <w:contextualSpacing/>
        <w:textAlignment w:val="baseline"/>
        <w:rPr>
          <w:i/>
          <w:iCs/>
        </w:rPr>
      </w:pPr>
      <w:r>
        <w:rPr>
          <w:rFonts w:hint="eastAsia"/>
          <w:b/>
          <w:bCs/>
          <w:i/>
          <w:iCs/>
        </w:rPr>
        <w:t xml:space="preserve">Proposal </w:t>
      </w:r>
      <w:r>
        <w:rPr>
          <w:b/>
          <w:bCs/>
          <w:i/>
          <w:iCs/>
        </w:rPr>
        <w:t>2</w:t>
      </w:r>
      <w:r>
        <w:rPr>
          <w:rFonts w:hint="eastAsia"/>
          <w:i/>
          <w:iCs/>
        </w:rPr>
        <w:t>: Regarding power control framework for unified TCI</w:t>
      </w:r>
      <w:r>
        <w:rPr>
          <w:i/>
          <w:iCs/>
        </w:rPr>
        <w:t xml:space="preserve"> for mTRP</w:t>
      </w:r>
      <w:r>
        <w:rPr>
          <w:rFonts w:hint="eastAsia"/>
          <w:i/>
          <w:iCs/>
        </w:rPr>
        <w:t>,</w:t>
      </w:r>
    </w:p>
    <w:p>
      <w:pPr>
        <w:numPr>
          <w:ilvl w:val="0"/>
          <w:numId w:val="10"/>
        </w:numPr>
        <w:overflowPunct w:val="0"/>
        <w:autoSpaceDE w:val="0"/>
        <w:autoSpaceDN w:val="0"/>
        <w:adjustRightInd w:val="0"/>
        <w:spacing w:before="120" w:beforeLines="50" w:after="120" w:afterLines="0" w:line="300" w:lineRule="auto"/>
        <w:textAlignment w:val="baseline"/>
        <w:rPr>
          <w:i/>
          <w:iCs/>
          <w:lang w:val="en-GB"/>
        </w:rPr>
      </w:pPr>
      <w:r>
        <w:rPr>
          <w:rFonts w:hint="eastAsia"/>
          <w:i/>
        </w:rPr>
        <w:t>Open-loop power control parameters, e.g. P0 and alpha, closed-loop power control parameter, and PL-RS can be associated with UL TCI state or DL and UL TCI state in RRC.</w:t>
      </w:r>
    </w:p>
    <w:p>
      <w:pPr>
        <w:numPr>
          <w:ilvl w:val="0"/>
          <w:numId w:val="12"/>
        </w:numPr>
        <w:tabs>
          <w:tab w:val="clear" w:pos="420"/>
        </w:tabs>
        <w:overflowPunct w:val="0"/>
        <w:autoSpaceDE w:val="0"/>
        <w:autoSpaceDN w:val="0"/>
        <w:adjustRightInd w:val="0"/>
        <w:spacing w:before="120" w:beforeLines="50" w:after="120" w:afterLines="0" w:line="300" w:lineRule="auto"/>
        <w:textAlignment w:val="baseline"/>
        <w:rPr>
          <w:i/>
          <w:iCs/>
          <w:lang w:val="en-GB"/>
        </w:rPr>
      </w:pPr>
      <w:r>
        <w:rPr>
          <w:i/>
          <w:iCs/>
          <w:lang w:val="en-GB"/>
        </w:rPr>
        <w:t xml:space="preserve">The association between </w:t>
      </w:r>
      <w:r>
        <w:rPr>
          <w:rFonts w:hint="eastAsia"/>
          <w:i/>
        </w:rPr>
        <w:t>TCI state and power control parameters, e.g. PL-RS</w:t>
      </w:r>
      <w:r>
        <w:rPr>
          <w:i/>
        </w:rPr>
        <w:t>,</w:t>
      </w:r>
      <w:r>
        <w:rPr>
          <w:i/>
          <w:iCs/>
          <w:lang w:val="en-GB"/>
        </w:rPr>
        <w:t xml:space="preserve"> </w:t>
      </w:r>
      <w:r>
        <w:rPr>
          <w:rFonts w:hint="eastAsia"/>
          <w:i/>
        </w:rPr>
        <w:t xml:space="preserve">should </w:t>
      </w:r>
      <w:r>
        <w:rPr>
          <w:i/>
          <w:iCs/>
          <w:lang w:val="en-GB"/>
        </w:rPr>
        <w:t>be maintained by MAC CE</w:t>
      </w:r>
      <w:r>
        <w:rPr>
          <w:rFonts w:hint="eastAsia"/>
          <w:i/>
        </w:rPr>
        <w:t>.</w:t>
      </w:r>
    </w:p>
    <w:p>
      <w:pPr>
        <w:numPr>
          <w:ilvl w:val="0"/>
          <w:numId w:val="12"/>
        </w:numPr>
        <w:tabs>
          <w:tab w:val="clear" w:pos="420"/>
        </w:tabs>
        <w:overflowPunct w:val="0"/>
        <w:autoSpaceDE w:val="0"/>
        <w:autoSpaceDN w:val="0"/>
        <w:adjustRightInd w:val="0"/>
        <w:spacing w:before="120" w:beforeLines="50" w:after="120" w:afterLines="0" w:line="300" w:lineRule="auto"/>
        <w:textAlignment w:val="baseline"/>
        <w:rPr>
          <w:rFonts w:eastAsia="微软雅黑"/>
          <w:i/>
          <w:iCs/>
          <w:lang w:val="en-GB"/>
        </w:rPr>
      </w:pPr>
      <w:r>
        <w:rPr>
          <w:rFonts w:eastAsia="微软雅黑"/>
          <w:i/>
          <w:iCs/>
          <w:lang w:val="en-GB"/>
        </w:rPr>
        <w:t>If not associated, PL-RS is the periodic DL-RS used as a source RS for determining spatial TX filter or the PL RS used for the UL RS in UL or (if applicable) joint TCI state.</w:t>
      </w:r>
    </w:p>
    <w:p>
      <w:pPr>
        <w:spacing w:before="120" w:beforeLines="50" w:after="120"/>
        <w:rPr>
          <w:b/>
          <w:i/>
        </w:rPr>
      </w:pPr>
      <w:r>
        <w:rPr>
          <w:b/>
          <w:i/>
        </w:rPr>
        <w:t xml:space="preserve">Observation 1: </w:t>
      </w:r>
    </w:p>
    <w:p>
      <w:pPr>
        <w:numPr>
          <w:ilvl w:val="0"/>
          <w:numId w:val="10"/>
        </w:numPr>
        <w:snapToGrid w:val="0"/>
        <w:spacing w:before="60" w:after="120" w:line="300" w:lineRule="auto"/>
        <w:ind w:left="360" w:leftChars="0" w:hanging="360" w:firstLineChars="0"/>
        <w:rPr>
          <w:i/>
        </w:rPr>
      </w:pPr>
      <w:r>
        <w:rPr>
          <w:i/>
        </w:rPr>
        <w:t xml:space="preserve">Due to sharing a single RRC TCI state pool for a CC group rather than respective pools per CC, </w:t>
      </w:r>
      <w:r>
        <w:rPr>
          <w:rFonts w:eastAsia="t"/>
          <w:i/>
        </w:rPr>
        <w:t xml:space="preserve">Opt-1 </w:t>
      </w:r>
      <w:r>
        <w:rPr>
          <w:i/>
        </w:rPr>
        <w:t>can significantly save RRC overhead over Opt-2, e.g., 1</w:t>
      </w:r>
      <w:r>
        <w:rPr>
          <w:rFonts w:hint="eastAsia"/>
          <w:i/>
        </w:rPr>
        <w:t>.12</w:t>
      </w:r>
      <w:r>
        <w:rPr>
          <w:i/>
        </w:rPr>
        <w:t>kB vs 1</w:t>
      </w:r>
      <w:r>
        <w:rPr>
          <w:rFonts w:hint="eastAsia"/>
          <w:i/>
        </w:rPr>
        <w:t>43.36</w:t>
      </w:r>
      <w:r>
        <w:rPr>
          <w:i/>
        </w:rPr>
        <w:t xml:space="preserve"> kB.</w:t>
      </w:r>
    </w:p>
    <w:p>
      <w:pPr>
        <w:numPr>
          <w:ilvl w:val="0"/>
          <w:numId w:val="10"/>
        </w:numPr>
        <w:snapToGrid w:val="0"/>
        <w:spacing w:before="60" w:after="120" w:line="300" w:lineRule="auto"/>
        <w:ind w:left="360" w:leftChars="0" w:hanging="360" w:firstLineChars="0"/>
        <w:rPr>
          <w:i/>
          <w:iCs/>
        </w:rPr>
      </w:pPr>
      <w:r>
        <w:rPr>
          <w:i/>
        </w:rPr>
        <w:t xml:space="preserve">Configuration flexibility of Opt-1 is sufficient for unified TCI indication, considering the identical RS configuration (e.g., TRS) across multiple CCs under the requirement of updating a common beam for all RS/channels, although losing some flexibility compared with Opt-2.  </w:t>
      </w:r>
    </w:p>
    <w:p>
      <w:pPr>
        <w:spacing w:before="120" w:beforeLines="50" w:after="120"/>
        <w:rPr>
          <w:b/>
          <w:i/>
        </w:rPr>
      </w:pPr>
      <w:r>
        <w:rPr>
          <w:b/>
          <w:i/>
        </w:rPr>
        <w:t xml:space="preserve">Observation 2: </w:t>
      </w:r>
      <w:r>
        <w:rPr>
          <w:i/>
        </w:rPr>
        <w:t>From the evaluation results for Option 1 panel-specific reporting and Option 2 beam group based reporting, it can be observed that:</w:t>
      </w:r>
    </w:p>
    <w:p>
      <w:pPr>
        <w:numPr>
          <w:ilvl w:val="0"/>
          <w:numId w:val="10"/>
        </w:numPr>
        <w:overflowPunct w:val="0"/>
        <w:autoSpaceDE w:val="0"/>
        <w:autoSpaceDN w:val="0"/>
        <w:adjustRightInd w:val="0"/>
        <w:spacing w:before="120" w:beforeLines="50" w:after="120" w:afterLines="0" w:line="300" w:lineRule="auto"/>
        <w:textAlignment w:val="baseline"/>
        <w:rPr>
          <w:i/>
        </w:rPr>
      </w:pPr>
      <w:r>
        <w:rPr>
          <w:i/>
        </w:rPr>
        <w:t>Increase number of beams per group for Option 1 and increase number of groups for Option-2 can bring significantly higher performance gain to combat blockage and UE mobility, especially for cell-edge UE in dense urban, through improving system flexibility with more candidate beams.</w:t>
      </w:r>
    </w:p>
    <w:p>
      <w:pPr>
        <w:numPr>
          <w:ilvl w:val="0"/>
          <w:numId w:val="10"/>
        </w:numPr>
        <w:overflowPunct w:val="0"/>
        <w:autoSpaceDE w:val="0"/>
        <w:autoSpaceDN w:val="0"/>
        <w:adjustRightInd w:val="0"/>
        <w:spacing w:before="120" w:beforeLines="50" w:after="120" w:afterLines="0" w:line="300" w:lineRule="auto"/>
        <w:textAlignment w:val="baseline"/>
        <w:rPr>
          <w:i/>
        </w:rPr>
      </w:pPr>
      <w:r>
        <w:rPr>
          <w:i/>
        </w:rPr>
        <w:t>Increase number of groups for Option 1 and increase number of beams per group for Option 2 can be more suitable for advanced UE with 3, 4 or more panels.</w:t>
      </w:r>
    </w:p>
    <w:p>
      <w:pPr>
        <w:spacing w:after="0" w:afterLines="0" w:line="240" w:lineRule="auto"/>
        <w:jc w:val="left"/>
        <w:rPr>
          <w:rFonts w:eastAsia="微软雅黑"/>
          <w:i/>
          <w:lang w:val="en-GB"/>
        </w:rPr>
      </w:pPr>
      <w:r>
        <w:rPr>
          <w:rFonts w:hint="eastAsia"/>
          <w:b/>
          <w:bCs/>
          <w:i/>
          <w:iCs/>
          <w:lang w:val="en-GB"/>
        </w:rPr>
        <w:t>P</w:t>
      </w:r>
      <w:r>
        <w:rPr>
          <w:b/>
          <w:bCs/>
          <w:i/>
          <w:iCs/>
          <w:lang w:val="en-GB"/>
        </w:rPr>
        <w:t xml:space="preserve">roposal </w:t>
      </w:r>
      <w:r>
        <w:rPr>
          <w:rFonts w:hint="eastAsia"/>
          <w:b/>
          <w:bCs/>
          <w:i/>
          <w:iCs/>
        </w:rPr>
        <w:t>3:</w:t>
      </w:r>
      <w:r>
        <w:rPr>
          <w:rFonts w:hint="eastAsia"/>
          <w:i/>
          <w:iCs/>
          <w:lang w:val="en-GB"/>
        </w:rPr>
        <w:t xml:space="preserve"> </w:t>
      </w:r>
      <w:r>
        <w:rPr>
          <w:rFonts w:hint="eastAsia" w:eastAsia="微软雅黑"/>
          <w:i/>
        </w:rPr>
        <w:t>According to the measurement of channel quality by the UE</w:t>
      </w:r>
      <w:r>
        <w:rPr>
          <w:rFonts w:hint="eastAsia" w:eastAsia="微软雅黑"/>
          <w:i/>
          <w:lang w:val="en-GB"/>
        </w:rPr>
        <w:t>,</w:t>
      </w:r>
    </w:p>
    <w:p>
      <w:pPr>
        <w:numPr>
          <w:ilvl w:val="0"/>
          <w:numId w:val="10"/>
        </w:numPr>
        <w:overflowPunct w:val="0"/>
        <w:autoSpaceDE w:val="0"/>
        <w:autoSpaceDN w:val="0"/>
        <w:adjustRightInd w:val="0"/>
        <w:spacing w:before="120" w:beforeLines="50" w:after="120" w:afterLines="0" w:line="300" w:lineRule="auto"/>
        <w:textAlignment w:val="baseline"/>
        <w:rPr>
          <w:rFonts w:eastAsia="微软雅黑"/>
          <w:i/>
          <w:lang w:val="en-GB"/>
        </w:rPr>
      </w:pPr>
      <w:r>
        <w:rPr>
          <w:rFonts w:hint="eastAsia"/>
          <w:bCs/>
          <w:i/>
          <w:iCs/>
        </w:rPr>
        <w:t xml:space="preserve">The </w:t>
      </w:r>
      <w:r>
        <w:rPr>
          <w:bCs/>
          <w:i/>
          <w:iCs/>
        </w:rPr>
        <w:t xml:space="preserve">UE </w:t>
      </w:r>
      <w:r>
        <w:rPr>
          <w:rFonts w:hint="eastAsia"/>
          <w:i/>
        </w:rPr>
        <w:t xml:space="preserve">actively </w:t>
      </w:r>
      <w:r>
        <w:rPr>
          <w:bCs/>
          <w:i/>
          <w:iCs/>
        </w:rPr>
        <w:t>reports to TRP, the report explicitly or implicitly indicates TRP handover mode from the following options:</w:t>
      </w:r>
    </w:p>
    <w:p>
      <w:pPr>
        <w:numPr>
          <w:ilvl w:val="0"/>
          <w:numId w:val="12"/>
        </w:numPr>
        <w:tabs>
          <w:tab w:val="clear" w:pos="420"/>
        </w:tabs>
        <w:overflowPunct w:val="0"/>
        <w:autoSpaceDE w:val="0"/>
        <w:autoSpaceDN w:val="0"/>
        <w:adjustRightInd w:val="0"/>
        <w:spacing w:before="120" w:beforeLines="50" w:after="120" w:afterLines="0" w:line="300" w:lineRule="auto"/>
        <w:textAlignment w:val="baseline"/>
        <w:rPr>
          <w:rFonts w:eastAsia="微软雅黑"/>
          <w:i/>
          <w:lang w:val="en-GB"/>
        </w:rPr>
      </w:pPr>
      <w:r>
        <w:rPr>
          <w:rFonts w:hint="eastAsia" w:eastAsia="微软雅黑"/>
          <w:i/>
          <w:lang w:val="en-GB"/>
        </w:rPr>
        <w:t xml:space="preserve">Mode 1: switch from </w:t>
      </w:r>
      <w:r>
        <w:rPr>
          <w:rFonts w:eastAsia="微软雅黑"/>
          <w:i/>
          <w:lang w:val="en-GB"/>
        </w:rPr>
        <w:t xml:space="preserve">a </w:t>
      </w:r>
      <w:r>
        <w:rPr>
          <w:rFonts w:hint="eastAsia"/>
          <w:i/>
          <w:iCs/>
          <w:lang w:val="en-GB"/>
        </w:rPr>
        <w:t xml:space="preserve">TRP </w:t>
      </w:r>
      <w:r>
        <w:rPr>
          <w:rFonts w:hint="eastAsia" w:eastAsia="微软雅黑"/>
          <w:i/>
          <w:lang w:val="en-GB"/>
        </w:rPr>
        <w:t xml:space="preserve">to </w:t>
      </w:r>
      <w:r>
        <w:rPr>
          <w:rFonts w:eastAsia="微软雅黑"/>
          <w:i/>
          <w:lang w:val="en-GB"/>
        </w:rPr>
        <w:t>an</w:t>
      </w:r>
      <w:r>
        <w:rPr>
          <w:rFonts w:hint="eastAsia" w:eastAsia="微软雅黑"/>
          <w:i/>
          <w:lang w:val="en-GB"/>
        </w:rPr>
        <w:t>other</w:t>
      </w:r>
      <w:r>
        <w:rPr>
          <w:rFonts w:hint="eastAsia" w:eastAsia="微软雅黑"/>
          <w:i/>
        </w:rPr>
        <w:t xml:space="preserve"> </w:t>
      </w:r>
      <w:r>
        <w:rPr>
          <w:rFonts w:hint="eastAsia" w:eastAsia="微软雅黑"/>
          <w:i/>
          <w:lang w:val="en-GB"/>
        </w:rPr>
        <w:t>TRP.</w:t>
      </w:r>
    </w:p>
    <w:p>
      <w:pPr>
        <w:numPr>
          <w:ilvl w:val="0"/>
          <w:numId w:val="12"/>
        </w:numPr>
        <w:tabs>
          <w:tab w:val="clear" w:pos="420"/>
        </w:tabs>
        <w:overflowPunct w:val="0"/>
        <w:autoSpaceDE w:val="0"/>
        <w:autoSpaceDN w:val="0"/>
        <w:adjustRightInd w:val="0"/>
        <w:spacing w:before="120" w:beforeLines="50" w:after="120" w:afterLines="0" w:line="300" w:lineRule="auto"/>
        <w:textAlignment w:val="baseline"/>
        <w:rPr>
          <w:rFonts w:eastAsia="微软雅黑"/>
          <w:i/>
          <w:lang w:val="en-GB"/>
        </w:rPr>
      </w:pPr>
      <w:r>
        <w:rPr>
          <w:rFonts w:hint="eastAsia" w:eastAsia="微软雅黑"/>
          <w:i/>
          <w:lang w:val="en-GB"/>
        </w:rPr>
        <w:t>Mode 2: switch from single-TRP to multi-TRP.</w:t>
      </w:r>
    </w:p>
    <w:p>
      <w:pPr>
        <w:numPr>
          <w:ilvl w:val="0"/>
          <w:numId w:val="12"/>
        </w:numPr>
        <w:tabs>
          <w:tab w:val="clear" w:pos="420"/>
        </w:tabs>
        <w:overflowPunct w:val="0"/>
        <w:autoSpaceDE w:val="0"/>
        <w:autoSpaceDN w:val="0"/>
        <w:adjustRightInd w:val="0"/>
        <w:spacing w:before="120" w:beforeLines="50" w:after="120" w:afterLines="0" w:line="300" w:lineRule="auto"/>
        <w:textAlignment w:val="baseline"/>
        <w:rPr>
          <w:rFonts w:eastAsia="微软雅黑"/>
          <w:i/>
          <w:lang w:val="en-GB"/>
        </w:rPr>
      </w:pPr>
      <w:r>
        <w:rPr>
          <w:rFonts w:hint="eastAsia" w:eastAsia="微软雅黑"/>
          <w:i/>
          <w:lang w:val="en-GB"/>
        </w:rPr>
        <w:t>Mode 3: switch from multi-TRP to single-TRP.</w:t>
      </w:r>
    </w:p>
    <w:p>
      <w:pPr>
        <w:pStyle w:val="119"/>
        <w:snapToGrid w:val="0"/>
        <w:spacing w:before="60" w:beforeLines="25" w:after="60" w:afterLines="25" w:line="300" w:lineRule="auto"/>
        <w:ind w:firstLine="0" w:firstLineChars="0"/>
        <w:rPr>
          <w:i/>
        </w:rPr>
      </w:pPr>
      <w:r>
        <w:rPr>
          <w:rFonts w:hint="eastAsia"/>
          <w:b/>
          <w:bCs/>
          <w:i/>
          <w:iCs/>
        </w:rPr>
        <w:t xml:space="preserve">Proposal 4: </w:t>
      </w:r>
      <w:r>
        <w:rPr>
          <w:rFonts w:hint="eastAsia"/>
          <w:i/>
        </w:rPr>
        <w:t>UE automatically initiate</w:t>
      </w:r>
      <w:r>
        <w:rPr>
          <w:i/>
        </w:rPr>
        <w:t>s</w:t>
      </w:r>
      <w:r>
        <w:rPr>
          <w:rFonts w:hint="eastAsia"/>
          <w:i/>
        </w:rPr>
        <w:t xml:space="preserve"> an L1 reporting of neighboring cell when it detects </w:t>
      </w:r>
      <w:r>
        <w:rPr>
          <w:i/>
        </w:rPr>
        <w:t xml:space="preserve">that </w:t>
      </w:r>
      <w:r>
        <w:rPr>
          <w:rFonts w:hint="eastAsia"/>
          <w:i/>
        </w:rPr>
        <w:t>a</w:t>
      </w:r>
      <w:r>
        <w:rPr>
          <w:i/>
        </w:rPr>
        <w:t>n</w:t>
      </w:r>
      <w:r>
        <w:rPr>
          <w:rFonts w:hint="eastAsia"/>
          <w:i/>
        </w:rPr>
        <w:t xml:space="preserve"> L3 </w:t>
      </w:r>
      <w:r>
        <w:rPr>
          <w:i/>
        </w:rPr>
        <w:t>mobility</w:t>
      </w:r>
      <w:r>
        <w:rPr>
          <w:rFonts w:hint="eastAsia"/>
          <w:i/>
        </w:rPr>
        <w:t xml:space="preserve"> event happen</w:t>
      </w:r>
      <w:r>
        <w:rPr>
          <w:i/>
        </w:rPr>
        <w:t>s</w:t>
      </w:r>
      <w:r>
        <w:rPr>
          <w:rFonts w:hint="eastAsia"/>
          <w:i/>
        </w:rPr>
        <w:t>.</w:t>
      </w:r>
    </w:p>
    <w:p>
      <w:pPr>
        <w:pStyle w:val="119"/>
        <w:snapToGrid w:val="0"/>
        <w:spacing w:before="60" w:beforeLines="25" w:after="60" w:afterLines="25" w:line="300" w:lineRule="auto"/>
        <w:ind w:firstLine="0" w:firstLineChars="0"/>
        <w:rPr>
          <w:i/>
        </w:rPr>
      </w:pPr>
      <w:r>
        <w:rPr>
          <w:rFonts w:hint="eastAsia"/>
          <w:b/>
          <w:bCs/>
          <w:i/>
          <w:iCs/>
        </w:rPr>
        <w:t xml:space="preserve">Proposal 5: </w:t>
      </w:r>
      <w:r>
        <w:rPr>
          <w:rFonts w:hint="eastAsia"/>
          <w:i/>
        </w:rPr>
        <w:t>gNB configures neighboring cell information for a</w:t>
      </w:r>
      <w:r>
        <w:rPr>
          <w:i/>
        </w:rPr>
        <w:t>n</w:t>
      </w:r>
      <w:r>
        <w:rPr>
          <w:rFonts w:hint="eastAsia"/>
          <w:i/>
        </w:rPr>
        <w:t xml:space="preserve"> L1 reporting using MAC-CE.</w:t>
      </w:r>
    </w:p>
    <w:p>
      <w:pPr>
        <w:pStyle w:val="119"/>
        <w:snapToGrid w:val="0"/>
        <w:spacing w:before="60" w:beforeLines="25" w:after="60" w:afterLines="25" w:line="300" w:lineRule="auto"/>
        <w:ind w:firstLine="0" w:firstLineChars="0"/>
        <w:rPr>
          <w:i/>
        </w:rPr>
      </w:pPr>
      <w:r>
        <w:rPr>
          <w:rFonts w:hint="eastAsia"/>
          <w:b/>
          <w:bCs/>
          <w:i/>
          <w:iCs/>
        </w:rPr>
        <w:t>Proposal 6:</w:t>
      </w:r>
      <w:r>
        <w:rPr>
          <w:b/>
          <w:bCs/>
          <w:i/>
          <w:iCs/>
        </w:rPr>
        <w:t xml:space="preserve"> </w:t>
      </w:r>
      <w:r>
        <w:rPr>
          <w:rFonts w:hint="eastAsia"/>
          <w:i/>
        </w:rPr>
        <w:t>When a serving cell is associated with multiple mobility RS sets corresponding to multiple PCIs, the PCI of a measurement signal set on which the quality of the serving cell is got should be clarified.</w:t>
      </w:r>
    </w:p>
    <w:p>
      <w:pPr>
        <w:pStyle w:val="119"/>
        <w:snapToGrid w:val="0"/>
        <w:spacing w:before="60" w:beforeLines="25" w:after="60" w:afterLines="25" w:line="300" w:lineRule="auto"/>
        <w:ind w:firstLine="0" w:firstLineChars="0"/>
        <w:rPr>
          <w:bCs/>
          <w:i/>
        </w:rPr>
      </w:pPr>
      <w:r>
        <w:rPr>
          <w:b/>
          <w:i/>
        </w:rPr>
        <w:t xml:space="preserve">Proposal </w:t>
      </w:r>
      <w:r>
        <w:rPr>
          <w:rFonts w:hint="eastAsia"/>
          <w:b/>
          <w:i/>
        </w:rPr>
        <w:t>7</w:t>
      </w:r>
      <w:r>
        <w:rPr>
          <w:b/>
          <w:i/>
        </w:rPr>
        <w:t xml:space="preserve">: </w:t>
      </w:r>
      <w:r>
        <w:rPr>
          <w:rFonts w:hint="eastAsia"/>
          <w:b/>
          <w:i/>
        </w:rPr>
        <w:t xml:space="preserve"> </w:t>
      </w:r>
      <w:r>
        <w:rPr>
          <w:rFonts w:hint="eastAsia"/>
          <w:bCs/>
          <w:i/>
        </w:rPr>
        <w:t xml:space="preserve">Support separate BFR MAC-CE and </w:t>
      </w:r>
      <w:r>
        <w:rPr>
          <w:bCs/>
          <w:i/>
        </w:rPr>
        <w:t>j</w:t>
      </w:r>
      <w:r>
        <w:rPr>
          <w:rFonts w:hint="eastAsia"/>
          <w:bCs/>
          <w:i/>
        </w:rPr>
        <w:t>oint BFR MAC-CE,</w:t>
      </w:r>
      <w:r>
        <w:rPr>
          <w:bCs/>
          <w:i/>
        </w:rPr>
        <w:t xml:space="preserve"> </w:t>
      </w:r>
      <w:r>
        <w:rPr>
          <w:rFonts w:hint="eastAsia"/>
          <w:bCs/>
          <w:i/>
        </w:rPr>
        <w:t xml:space="preserve">wherein only one CORESET pool index is in the separate BFR MAC-CE and two serving cell indication bitmaps each of which corresponds to a CORESET pool index are in a joint BFR MAC-CE. </w:t>
      </w:r>
    </w:p>
    <w:p>
      <w:pPr>
        <w:pStyle w:val="119"/>
        <w:snapToGrid w:val="0"/>
        <w:spacing w:before="60" w:beforeLines="25" w:after="60" w:afterLines="25" w:line="300" w:lineRule="auto"/>
        <w:ind w:firstLine="0" w:firstLineChars="0"/>
        <w:rPr>
          <w:i/>
        </w:rPr>
      </w:pPr>
      <w:r>
        <w:rPr>
          <w:rFonts w:hint="eastAsia"/>
          <w:b/>
          <w:bCs/>
          <w:i/>
          <w:iCs/>
        </w:rPr>
        <w:t xml:space="preserve">Proposal 8: </w:t>
      </w:r>
      <w:r>
        <w:rPr>
          <w:rFonts w:hint="eastAsia"/>
          <w:bCs/>
          <w:i/>
        </w:rPr>
        <w:t xml:space="preserve">PCI can be configured for </w:t>
      </w:r>
      <w:r>
        <w:rPr>
          <w:bCs/>
          <w:i/>
        </w:rPr>
        <w:t xml:space="preserve">TRP-specific </w:t>
      </w:r>
      <w:r>
        <w:rPr>
          <w:rFonts w:hint="eastAsia"/>
          <w:bCs/>
          <w:i/>
        </w:rPr>
        <w:t>BFR candidate RS set</w:t>
      </w:r>
      <w:r>
        <w:rPr>
          <w:bCs/>
          <w:i/>
        </w:rPr>
        <w:t>(s)</w:t>
      </w:r>
      <w:r>
        <w:rPr>
          <w:rFonts w:hint="eastAsia"/>
          <w:bCs/>
          <w:i/>
        </w:rPr>
        <w:t xml:space="preserve">. </w:t>
      </w:r>
    </w:p>
    <w:p>
      <w:pPr>
        <w:pStyle w:val="2"/>
        <w:tabs>
          <w:tab w:val="clear" w:pos="432"/>
        </w:tabs>
        <w:snapToGrid w:val="0"/>
        <w:spacing w:before="120" w:beforeLines="50" w:after="120"/>
        <w:rPr>
          <w:sz w:val="28"/>
          <w:lang w:val="en-US"/>
        </w:rPr>
      </w:pPr>
      <w:r>
        <w:rPr>
          <w:rFonts w:hint="eastAsia"/>
          <w:sz w:val="28"/>
          <w:lang w:val="en-US"/>
        </w:rPr>
        <w:t>References</w:t>
      </w:r>
    </w:p>
    <w:p>
      <w:pPr>
        <w:pStyle w:val="118"/>
        <w:spacing w:after="120" w:line="259" w:lineRule="auto"/>
        <w:rPr>
          <w:bCs/>
          <w:sz w:val="20"/>
          <w:szCs w:val="22"/>
        </w:rPr>
      </w:pPr>
      <w:r>
        <w:rPr>
          <w:rFonts w:hint="eastAsia"/>
          <w:bCs/>
          <w:sz w:val="20"/>
          <w:szCs w:val="22"/>
        </w:rPr>
        <w:t>R1-2102661 Multi-TRP enhancements for PDCCH, PUCCH and PUSCH, ZTE</w:t>
      </w:r>
    </w:p>
    <w:p>
      <w:pPr>
        <w:pStyle w:val="118"/>
        <w:spacing w:after="120" w:line="259" w:lineRule="auto"/>
        <w:rPr>
          <w:bCs/>
          <w:sz w:val="20"/>
          <w:szCs w:val="22"/>
        </w:rPr>
      </w:pPr>
      <w:r>
        <w:rPr>
          <w:rFonts w:hint="eastAsia"/>
          <w:bCs/>
          <w:sz w:val="20"/>
          <w:szCs w:val="22"/>
        </w:rPr>
        <w:t>R1-2100285,</w:t>
      </w:r>
      <w:r>
        <w:rPr>
          <w:bCs/>
          <w:sz w:val="20"/>
          <w:szCs w:val="22"/>
        </w:rPr>
        <w:t xml:space="preserve"> </w:t>
      </w:r>
      <w:r>
        <w:rPr>
          <w:rFonts w:hint="eastAsia"/>
          <w:bCs/>
          <w:sz w:val="20"/>
          <w:szCs w:val="22"/>
        </w:rPr>
        <w:t>Enhancements on multi-beam operation</w:t>
      </w:r>
      <w:r>
        <w:rPr>
          <w:bCs/>
          <w:sz w:val="20"/>
          <w:szCs w:val="22"/>
        </w:rPr>
        <w:t>, ZTE</w:t>
      </w:r>
    </w:p>
    <w:p>
      <w:pPr>
        <w:pStyle w:val="118"/>
        <w:spacing w:after="120" w:line="259" w:lineRule="auto"/>
        <w:rPr>
          <w:bCs/>
          <w:sz w:val="20"/>
          <w:szCs w:val="22"/>
        </w:rPr>
      </w:pPr>
      <w:r>
        <w:rPr>
          <w:rFonts w:hint="eastAsia"/>
          <w:bCs/>
          <w:sz w:val="20"/>
          <w:szCs w:val="22"/>
        </w:rPr>
        <w:t>R1-2100288</w:t>
      </w:r>
      <w:r>
        <w:rPr>
          <w:bCs/>
          <w:sz w:val="20"/>
          <w:szCs w:val="22"/>
        </w:rPr>
        <w:t xml:space="preserve">, </w:t>
      </w:r>
      <w:r>
        <w:rPr>
          <w:rFonts w:hint="eastAsia"/>
          <w:bCs/>
          <w:sz w:val="20"/>
          <w:szCs w:val="22"/>
        </w:rPr>
        <w:t>Enhancements on beam management for multi-TRP Operation</w:t>
      </w:r>
      <w:r>
        <w:rPr>
          <w:bCs/>
          <w:sz w:val="20"/>
          <w:szCs w:val="22"/>
        </w:rPr>
        <w:t>, ZTE</w:t>
      </w:r>
    </w:p>
    <w:p>
      <w:pPr>
        <w:pStyle w:val="2"/>
        <w:tabs>
          <w:tab w:val="clear" w:pos="432"/>
        </w:tabs>
        <w:snapToGrid w:val="0"/>
        <w:spacing w:before="120" w:beforeLines="50" w:after="120"/>
        <w:rPr>
          <w:sz w:val="28"/>
          <w:szCs w:val="32"/>
          <w:lang w:val="en-US"/>
        </w:rPr>
      </w:pPr>
      <w:r>
        <w:rPr>
          <w:sz w:val="28"/>
          <w:szCs w:val="32"/>
          <w:lang w:val="en-US"/>
        </w:rPr>
        <w:t>Appendix</w:t>
      </w:r>
    </w:p>
    <w:p>
      <w:pPr>
        <w:pStyle w:val="40"/>
        <w:spacing w:after="120"/>
        <w:rPr>
          <w:rFonts w:ascii="Times New Roman" w:hAnsi="Times New Roman"/>
          <w:b w:val="0"/>
          <w:lang w:eastAsia="ja-JP"/>
        </w:rPr>
      </w:pPr>
      <w:r>
        <w:rPr>
          <w:rFonts w:ascii="Times New Roman" w:hAnsi="Times New Roman"/>
          <w:lang w:eastAsia="ja-JP"/>
        </w:rPr>
        <w:t>Table 5</w:t>
      </w:r>
      <w:r>
        <w:rPr>
          <w:rFonts w:ascii="Times New Roman" w:hAnsi="Times New Roman"/>
          <w:b w:val="0"/>
          <w:lang w:eastAsia="ja-JP"/>
        </w:rPr>
        <w:t xml:space="preserve"> Simulation assumptions for i</w:t>
      </w:r>
      <w:r>
        <w:rPr>
          <w:rFonts w:hint="eastAsia" w:ascii="Times New Roman" w:hAnsi="Times New Roman"/>
          <w:b w:val="0"/>
          <w:lang w:eastAsia="ja-JP"/>
        </w:rPr>
        <w:t>ndoor-hot</w:t>
      </w:r>
      <w:r>
        <w:rPr>
          <w:rFonts w:ascii="Times New Roman" w:hAnsi="Times New Roman"/>
          <w:b w:val="0"/>
          <w:lang w:eastAsia="ja-JP"/>
        </w:rPr>
        <w:t>s</w:t>
      </w:r>
      <w:r>
        <w:rPr>
          <w:rFonts w:hint="eastAsia" w:ascii="Times New Roman" w:hAnsi="Times New Roman"/>
          <w:b w:val="0"/>
          <w:lang w:eastAsia="ja-JP"/>
        </w:rPr>
        <w:t>pot system</w:t>
      </w:r>
      <w:r>
        <w:rPr>
          <w:rFonts w:ascii="Times New Roman" w:hAnsi="Times New Roman"/>
          <w:b w:val="0"/>
          <w:lang w:eastAsia="ja-JP"/>
        </w:rPr>
        <w:t>-level evaluation</w:t>
      </w:r>
    </w:p>
    <w:tbl>
      <w:tblPr>
        <w:tblStyle w:val="25"/>
        <w:tblW w:w="9451" w:type="dxa"/>
        <w:tblInd w:w="117" w:type="dxa"/>
        <w:tblLayout w:type="fixed"/>
        <w:tblCellMar>
          <w:top w:w="0" w:type="dxa"/>
          <w:left w:w="0" w:type="dxa"/>
          <w:bottom w:w="0" w:type="dxa"/>
          <w:right w:w="0" w:type="dxa"/>
        </w:tblCellMar>
      </w:tblPr>
      <w:tblGrid>
        <w:gridCol w:w="2223"/>
        <w:gridCol w:w="7228"/>
      </w:tblGrid>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7" w:type="dxa"/>
              <w:bottom w:w="0" w:type="dxa"/>
              <w:right w:w="107" w:type="dxa"/>
            </w:tcMar>
          </w:tcPr>
          <w:p>
            <w:pPr>
              <w:spacing w:after="120"/>
              <w:rPr>
                <w:b/>
                <w:bCs/>
                <w:sz w:val="18"/>
                <w:szCs w:val="18"/>
                <w:lang w:eastAsia="ja-JP"/>
              </w:rPr>
            </w:pPr>
            <w:r>
              <w:rPr>
                <w:b/>
                <w:bCs/>
                <w:sz w:val="18"/>
                <w:szCs w:val="18"/>
                <w:lang w:eastAsia="ja-JP"/>
              </w:rPr>
              <w:t>Attributes</w:t>
            </w:r>
          </w:p>
        </w:tc>
        <w:tc>
          <w:tcPr>
            <w:tcW w:w="7228"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7" w:type="dxa"/>
              <w:bottom w:w="0" w:type="dxa"/>
              <w:right w:w="107" w:type="dxa"/>
            </w:tcMar>
          </w:tcPr>
          <w:p>
            <w:pPr>
              <w:spacing w:after="120"/>
              <w:rPr>
                <w:b/>
                <w:bCs/>
                <w:sz w:val="18"/>
                <w:szCs w:val="18"/>
                <w:lang w:eastAsia="ja-JP"/>
              </w:rPr>
            </w:pPr>
            <w:r>
              <w:rPr>
                <w:b/>
                <w:bCs/>
                <w:sz w:val="18"/>
                <w:szCs w:val="18"/>
                <w:lang w:eastAsia="ja-JP"/>
              </w:rPr>
              <w:t>Values or assumptions</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Carrier Frequency</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rPr>
            </w:pPr>
            <w:r>
              <w:rPr>
                <w:sz w:val="18"/>
                <w:szCs w:val="18"/>
                <w:lang w:eastAsia="ja-JP"/>
              </w:rPr>
              <w:t>30 GHz</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rPr>
            </w:pPr>
            <w:r>
              <w:rPr>
                <w:b/>
                <w:sz w:val="18"/>
                <w:szCs w:val="18"/>
              </w:rPr>
              <w:t>Mode</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DL only</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rPr>
            </w:pPr>
            <w:r>
              <w:rPr>
                <w:b/>
                <w:sz w:val="18"/>
                <w:szCs w:val="18"/>
              </w:rPr>
              <w:t>Bandwidth</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80</w:t>
            </w:r>
            <w:r>
              <w:rPr>
                <w:sz w:val="18"/>
                <w:szCs w:val="18"/>
              </w:rPr>
              <w:t xml:space="preserve"> </w:t>
            </w:r>
            <w:r>
              <w:rPr>
                <w:sz w:val="18"/>
                <w:szCs w:val="18"/>
                <w:lang w:eastAsia="ja-JP"/>
              </w:rPr>
              <w:t>MHz</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rPr>
            </w:pPr>
            <w:r>
              <w:rPr>
                <w:b/>
                <w:sz w:val="18"/>
                <w:szCs w:val="18"/>
              </w:rPr>
              <w:t>Subcarrier Spacing</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120</w:t>
            </w:r>
            <w:r>
              <w:rPr>
                <w:sz w:val="18"/>
                <w:szCs w:val="18"/>
              </w:rPr>
              <w:t xml:space="preserve"> </w:t>
            </w:r>
            <w:r>
              <w:rPr>
                <w:sz w:val="18"/>
                <w:szCs w:val="18"/>
                <w:lang w:eastAsia="ja-JP"/>
              </w:rPr>
              <w:t>kHz</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Channel Model</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rPr>
            </w:pPr>
            <w:r>
              <w:rPr>
                <w:sz w:val="18"/>
                <w:szCs w:val="18"/>
              </w:rPr>
              <w:t>Indoor in TR 38.900</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TXRU mapping to antenna elements</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rPr>
              <w:t xml:space="preserve">One </w:t>
            </w:r>
            <w:r>
              <w:rPr>
                <w:sz w:val="18"/>
                <w:szCs w:val="18"/>
                <w:lang w:eastAsia="ja-JP"/>
              </w:rPr>
              <w:t>TXRU per panel per polarization</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TXRU mapping weights</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rPr>
            </w:pPr>
            <w:r>
              <w:rPr>
                <w:sz w:val="18"/>
                <w:szCs w:val="18"/>
                <w:lang w:eastAsia="ja-JP"/>
              </w:rPr>
              <w:t>2D TXRU virtualization weight for each panel is the Kronecker product between vertical and horizontal weight vectors taken from DFT, i.e., 2D sub-array partition model defined in TR36.897.</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rPr>
            </w:pPr>
            <w:r>
              <w:rPr>
                <w:b/>
                <w:sz w:val="18"/>
                <w:szCs w:val="18"/>
                <w:lang w:eastAsia="ja-JP"/>
              </w:rPr>
              <w:t>Criteria for beam selection</w:t>
            </w:r>
            <w:r>
              <w:rPr>
                <w:b/>
                <w:sz w:val="18"/>
                <w:szCs w:val="18"/>
              </w:rPr>
              <w:t xml:space="preserve"> for serving TRP</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Select the best beam pair among the limited set of DFT beams, based on the criteria of maximizing receive power after beamforming.</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Constraints for the range of selective beams per TRP sector</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rPr>
            </w:pPr>
            <w:r>
              <w:rPr>
                <w:sz w:val="18"/>
                <w:szCs w:val="18"/>
              </w:rPr>
              <w:t>Two UE panels are attached with two respective TRP.</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center"/>
          </w:tcPr>
          <w:p>
            <w:pPr>
              <w:spacing w:after="120"/>
            </w:pPr>
            <w:r>
              <w:rPr>
                <w:b/>
                <w:sz w:val="18"/>
                <w:szCs w:val="18"/>
                <w:lang w:eastAsia="ja-JP"/>
              </w:rPr>
              <w:t>ISD</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vAlign w:val="center"/>
          </w:tcPr>
          <w:p>
            <w:pPr>
              <w:pStyle w:val="75"/>
              <w:rPr>
                <w:sz w:val="20"/>
                <w:szCs w:val="20"/>
              </w:rPr>
            </w:pPr>
            <w:r>
              <w:rPr>
                <w:rFonts w:hint="eastAsia"/>
                <w:sz w:val="20"/>
                <w:szCs w:val="20"/>
              </w:rPr>
              <w:t>20 m</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BS Tx power</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23</w:t>
            </w:r>
            <w:r>
              <w:rPr>
                <w:rFonts w:hint="eastAsia"/>
                <w:sz w:val="18"/>
                <w:szCs w:val="18"/>
              </w:rPr>
              <w:t xml:space="preserve"> </w:t>
            </w:r>
            <w:r>
              <w:rPr>
                <w:sz w:val="18"/>
                <w:szCs w:val="18"/>
                <w:lang w:eastAsia="ja-JP"/>
              </w:rPr>
              <w:t>dBm</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BS Antenna Configuration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(M,N,P,Mg,Ng) = (4,8,2,1,1), (dV,dH) = (0.5, 0.5)λ</w:t>
            </w:r>
          </w:p>
          <w:p>
            <w:pPr>
              <w:spacing w:after="120"/>
              <w:rPr>
                <w:sz w:val="18"/>
                <w:szCs w:val="18"/>
              </w:rPr>
            </w:pPr>
            <w:r>
              <w:rPr>
                <w:sz w:val="18"/>
                <w:szCs w:val="18"/>
                <w:lang w:eastAsia="ja-JP"/>
              </w:rPr>
              <w:t>Boresight direction is perpendicular to the ceiling</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Configuration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rPr>
            </w:pPr>
            <w:r>
              <w:t xml:space="preserve">(M, N, P, Mg, Ng) = (2, 4, 2, 1, 2); </w:t>
            </w:r>
            <w:r>
              <w:rPr>
                <w:rFonts w:eastAsia="Malgun Gothic"/>
                <w:kern w:val="24"/>
                <w:lang w:val="sv-SE"/>
              </w:rPr>
              <w:t>(d</w:t>
            </w:r>
            <w:r>
              <w:rPr>
                <w:rFonts w:eastAsia="Malgun Gothic"/>
                <w:kern w:val="24"/>
                <w:position w:val="-6"/>
                <w:vertAlign w:val="subscript"/>
                <w:lang w:val="sv-SE"/>
              </w:rPr>
              <w:t>V</w:t>
            </w:r>
            <w:r>
              <w:rPr>
                <w:rFonts w:eastAsia="Malgun Gothic"/>
                <w:kern w:val="24"/>
                <w:lang w:val="sv-SE"/>
              </w:rPr>
              <w:t>,d</w:t>
            </w:r>
            <w:r>
              <w:rPr>
                <w:rFonts w:eastAsia="Malgun Gothic"/>
                <w:kern w:val="24"/>
                <w:position w:val="-6"/>
                <w:vertAlign w:val="subscript"/>
                <w:lang w:val="sv-SE"/>
              </w:rPr>
              <w:t>H</w:t>
            </w:r>
            <w:r>
              <w:rPr>
                <w:rFonts w:eastAsia="Malgun Gothic"/>
                <w:kern w:val="24"/>
                <w:lang w:val="sv-SE"/>
              </w:rPr>
              <w:t>) = (0.5, 0.5)</w:t>
            </w:r>
            <w:r>
              <w:rPr>
                <w:rFonts w:eastAsia="Malgun Gothic"/>
                <w:kern w:val="24"/>
              </w:rPr>
              <w:t>λ</w:t>
            </w:r>
            <w:r>
              <w:rPr>
                <w:rFonts w:eastAsia="Malgun Gothic"/>
                <w:kern w:val="24"/>
                <w:lang w:val="sv-SE"/>
              </w:rPr>
              <w:t>. (d</w:t>
            </w:r>
            <w:r>
              <w:rPr>
                <w:rFonts w:eastAsia="Malgun Gothic"/>
                <w:kern w:val="24"/>
                <w:position w:val="-6"/>
                <w:vertAlign w:val="subscript"/>
                <w:lang w:val="sv-SE"/>
              </w:rPr>
              <w:t>g,V</w:t>
            </w:r>
            <w:r>
              <w:rPr>
                <w:rFonts w:eastAsia="Malgun Gothic"/>
                <w:kern w:val="24"/>
                <w:lang w:val="sv-SE"/>
              </w:rPr>
              <w:t>,d</w:t>
            </w:r>
            <w:r>
              <w:rPr>
                <w:rFonts w:eastAsia="Malgun Gothic"/>
                <w:kern w:val="24"/>
                <w:position w:val="-6"/>
                <w:vertAlign w:val="subscript"/>
                <w:lang w:val="sv-SE"/>
              </w:rPr>
              <w:t>g,H</w:t>
            </w:r>
            <w:r>
              <w:rPr>
                <w:rFonts w:eastAsia="Malgun Gothic"/>
                <w:kern w:val="24"/>
                <w:lang w:val="sv-SE"/>
              </w:rPr>
              <w:t>) = (0, 0)</w:t>
            </w:r>
            <w:r>
              <w:rPr>
                <w:rFonts w:eastAsia="Malgun Gothic"/>
                <w:kern w:val="24"/>
              </w:rPr>
              <w:t>λ</w:t>
            </w:r>
            <w:r>
              <w:rPr>
                <w:rFonts w:eastAsia="Malgun Gothic"/>
                <w:kern w:val="24"/>
                <w:lang w:val="sv-SE"/>
              </w:rPr>
              <w:t>.</w:t>
            </w:r>
            <w:r>
              <w:t xml:space="preserve"> </w:t>
            </w:r>
            <w:r>
              <w:rPr>
                <w:rFonts w:eastAsia="Malgun Gothic"/>
                <w:kern w:val="24"/>
              </w:rPr>
              <w:t>Θ</w:t>
            </w:r>
            <w:r>
              <w:rPr>
                <w:rFonts w:eastAsia="Malgun Gothic"/>
                <w:kern w:val="24"/>
                <w:position w:val="-6"/>
                <w:vertAlign w:val="subscript"/>
              </w:rPr>
              <w:t>mg,ng</w:t>
            </w:r>
            <w:r>
              <w:rPr>
                <w:rFonts w:eastAsia="Malgun Gothic"/>
                <w:kern w:val="24"/>
              </w:rPr>
              <w:t>=90; Ω</w:t>
            </w:r>
            <w:r>
              <w:rPr>
                <w:rFonts w:eastAsia="Malgun Gothic"/>
                <w:kern w:val="24"/>
                <w:position w:val="-6"/>
                <w:vertAlign w:val="subscript"/>
              </w:rPr>
              <w:t>0,1</w:t>
            </w:r>
            <w:r>
              <w:rPr>
                <w:rFonts w:eastAsia="Malgun Gothic"/>
                <w:kern w:val="24"/>
              </w:rPr>
              <w:t>=Ω</w:t>
            </w:r>
            <w:r>
              <w:rPr>
                <w:rFonts w:eastAsia="Malgun Gothic"/>
                <w:kern w:val="24"/>
                <w:position w:val="-6"/>
                <w:vertAlign w:val="subscript"/>
              </w:rPr>
              <w:t>0,0</w:t>
            </w:r>
            <w:r>
              <w:rPr>
                <w:rFonts w:eastAsia="Malgun Gothic"/>
                <w:kern w:val="24"/>
              </w:rPr>
              <w:t>+180;</w:t>
            </w:r>
            <w:r>
              <w:t xml:space="preserve"> The polarization angles are 0 and 90</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array orientation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adjustRightInd w:val="0"/>
              <w:snapToGrid w:val="0"/>
              <w:spacing w:after="120"/>
              <w:rPr>
                <w:sz w:val="18"/>
                <w:szCs w:val="18"/>
                <w:lang w:eastAsia="ja-JP"/>
              </w:rPr>
            </w:pPr>
            <w:r>
              <w:rPr>
                <w:rFonts w:eastAsia="Malgun Gothic"/>
                <w:kern w:val="24"/>
                <w:sz w:val="18"/>
                <w:szCs w:val="21"/>
              </w:rPr>
              <w:t>Ω</w:t>
            </w:r>
            <w:r>
              <w:rPr>
                <w:rFonts w:eastAsia="Malgun Gothic"/>
                <w:i/>
                <w:iCs/>
                <w:kern w:val="24"/>
                <w:position w:val="-6"/>
                <w:sz w:val="18"/>
                <w:szCs w:val="21"/>
                <w:vertAlign w:val="subscript"/>
              </w:rPr>
              <w:t xml:space="preserve">UT, </w:t>
            </w:r>
            <w:r>
              <w:rPr>
                <w:rFonts w:eastAsia="MS Mincho"/>
                <w:kern w:val="24"/>
                <w:sz w:val="18"/>
                <w:szCs w:val="21"/>
              </w:rPr>
              <w:t xml:space="preserve">uniformly distributed on [0,360] degree, </w:t>
            </w:r>
            <w:r>
              <w:rPr>
                <w:rFonts w:eastAsia="Malgun Gothic"/>
                <w:kern w:val="24"/>
                <w:sz w:val="18"/>
                <w:szCs w:val="21"/>
              </w:rPr>
              <w:t>Ω</w:t>
            </w:r>
            <w:r>
              <w:rPr>
                <w:rFonts w:eastAsia="Malgun Gothic"/>
                <w:i/>
                <w:iCs/>
                <w:kern w:val="24"/>
                <w:position w:val="-6"/>
                <w:sz w:val="18"/>
                <w:szCs w:val="21"/>
                <w:vertAlign w:val="subscript"/>
              </w:rPr>
              <w:t>UT,</w:t>
            </w:r>
            <w:r>
              <w:rPr>
                <w:rFonts w:eastAsia="MS Mincho"/>
                <w:kern w:val="24"/>
                <w:sz w:val="18"/>
                <w:szCs w:val="18"/>
              </w:rPr>
              <w:t xml:space="preserve">= 0 </w:t>
            </w:r>
            <w:r>
              <w:rPr>
                <w:sz w:val="18"/>
                <w:szCs w:val="18"/>
              </w:rPr>
              <w:t>degree,</w:t>
            </w:r>
            <w:r>
              <w:rPr>
                <w:sz w:val="15"/>
              </w:rPr>
              <w:t xml:space="preserve"> </w:t>
            </w:r>
            <w:r>
              <w:rPr>
                <w:rFonts w:eastAsia="Malgun Gothic"/>
                <w:kern w:val="24"/>
                <w:sz w:val="18"/>
                <w:szCs w:val="21"/>
              </w:rPr>
              <w:t>Ω</w:t>
            </w:r>
            <w:r>
              <w:rPr>
                <w:rFonts w:eastAsia="Malgun Gothic"/>
                <w:i/>
                <w:iCs/>
                <w:kern w:val="24"/>
                <w:position w:val="-6"/>
                <w:sz w:val="18"/>
                <w:szCs w:val="21"/>
                <w:vertAlign w:val="subscript"/>
              </w:rPr>
              <w:t xml:space="preserve">UT, </w:t>
            </w:r>
            <w:r>
              <w:rPr>
                <w:rFonts w:eastAsia="MS Mincho"/>
                <w:kern w:val="24"/>
                <w:sz w:val="18"/>
                <w:szCs w:val="18"/>
              </w:rPr>
              <w:t xml:space="preserve">= 0 </w:t>
            </w:r>
            <w:r>
              <w:rPr>
                <w:sz w:val="18"/>
                <w:szCs w:val="18"/>
              </w:rPr>
              <w:t>degree</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rPr>
              <w:t>BS</w:t>
            </w:r>
            <w:r>
              <w:rPr>
                <w:b/>
                <w:sz w:val="18"/>
                <w:szCs w:val="18"/>
                <w:lang w:eastAsia="ja-JP"/>
              </w:rPr>
              <w:t xml:space="preserve"> antenna pattern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rPr>
            </w:pPr>
            <w:r>
              <w:rPr>
                <w:sz w:val="18"/>
                <w:szCs w:val="18"/>
              </w:rPr>
              <w:t>See w</w:t>
            </w:r>
            <w:r>
              <w:rPr>
                <w:sz w:val="18"/>
                <w:szCs w:val="18"/>
                <w:lang w:eastAsia="ja-JP"/>
              </w:rPr>
              <w:t>all-mount</w:t>
            </w:r>
            <w:r>
              <w:rPr>
                <w:sz w:val="18"/>
                <w:szCs w:val="18"/>
              </w:rPr>
              <w:t xml:space="preserve"> in </w:t>
            </w:r>
            <w:r>
              <w:rPr>
                <w:sz w:val="18"/>
                <w:szCs w:val="18"/>
                <w:lang w:eastAsia="ja-JP"/>
              </w:rPr>
              <w:t>Table A.2.1-7 in</w:t>
            </w:r>
            <w:r>
              <w:rPr>
                <w:sz w:val="18"/>
                <w:szCs w:val="18"/>
              </w:rPr>
              <w:t xml:space="preserve"> TR 38.802</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antenna pattern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rPr>
            </w:pPr>
            <w:r>
              <w:rPr>
                <w:sz w:val="18"/>
                <w:szCs w:val="18"/>
              </w:rPr>
              <w:t xml:space="preserve">See </w:t>
            </w:r>
            <w:r>
              <w:rPr>
                <w:sz w:val="18"/>
                <w:szCs w:val="18"/>
                <w:lang w:eastAsia="ja-JP"/>
              </w:rPr>
              <w:t>Table A.</w:t>
            </w:r>
            <w:r>
              <w:rPr>
                <w:sz w:val="18"/>
                <w:szCs w:val="18"/>
              </w:rPr>
              <w:t>2.1-8 in TR 38.802</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BS antenna height</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3</w:t>
            </w:r>
            <w:r>
              <w:rPr>
                <w:rFonts w:hint="eastAsia"/>
                <w:sz w:val="18"/>
                <w:szCs w:val="18"/>
              </w:rPr>
              <w:t xml:space="preserve"> </w:t>
            </w:r>
            <w:r>
              <w:rPr>
                <w:sz w:val="18"/>
                <w:szCs w:val="18"/>
                <w:lang w:eastAsia="ja-JP"/>
              </w:rPr>
              <w:t>m</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antenna height</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1.5 m</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antenna gain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5</w:t>
            </w:r>
            <w:r>
              <w:rPr>
                <w:rFonts w:hint="eastAsia"/>
                <w:sz w:val="18"/>
                <w:szCs w:val="18"/>
              </w:rPr>
              <w:t xml:space="preserve"> </w:t>
            </w:r>
            <w:r>
              <w:rPr>
                <w:sz w:val="18"/>
                <w:szCs w:val="18"/>
                <w:lang w:eastAsia="ja-JP"/>
              </w:rPr>
              <w:t>dBi</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Noise figure for BS</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7</w:t>
            </w:r>
            <w:r>
              <w:rPr>
                <w:rFonts w:hint="eastAsia"/>
                <w:sz w:val="18"/>
                <w:szCs w:val="18"/>
              </w:rPr>
              <w:t xml:space="preserve"> </w:t>
            </w:r>
            <w:r>
              <w:rPr>
                <w:sz w:val="18"/>
                <w:szCs w:val="18"/>
                <w:lang w:eastAsia="ja-JP"/>
              </w:rPr>
              <w:t>dB</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receiver noise figure</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10</w:t>
            </w:r>
            <w:r>
              <w:rPr>
                <w:rFonts w:hint="eastAsia"/>
                <w:sz w:val="18"/>
                <w:szCs w:val="18"/>
              </w:rPr>
              <w:t xml:space="preserve"> </w:t>
            </w:r>
            <w:r>
              <w:rPr>
                <w:sz w:val="18"/>
                <w:szCs w:val="18"/>
                <w:lang w:eastAsia="ja-JP"/>
              </w:rPr>
              <w:t>dB</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distribution</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pStyle w:val="128"/>
              <w:spacing w:line="252" w:lineRule="auto"/>
              <w:jc w:val="both"/>
              <w:rPr>
                <w:rFonts w:ascii="Times New Roman" w:hAnsi="Times New Roman" w:cs="Times New Roman"/>
                <w:lang w:eastAsia="ja-JP"/>
              </w:rPr>
            </w:pPr>
            <w:r>
              <w:rPr>
                <w:rFonts w:ascii="Times New Roman" w:hAnsi="Times New Roman" w:cs="Times New Roman"/>
                <w:lang w:eastAsia="ja-JP"/>
              </w:rPr>
              <w:t>100% Indoor, 3</w:t>
            </w:r>
            <w:r>
              <w:rPr>
                <w:rFonts w:hint="eastAsia" w:ascii="Times New Roman" w:hAnsi="Times New Roman" w:eastAsia="宋体" w:cs="Times New Roman"/>
                <w:lang w:eastAsia="zh-CN"/>
              </w:rPr>
              <w:t xml:space="preserve"> </w:t>
            </w:r>
            <w:r>
              <w:rPr>
                <w:rFonts w:ascii="Times New Roman" w:hAnsi="Times New Roman" w:cs="Times New Roman"/>
                <w:lang w:eastAsia="ja-JP"/>
              </w:rPr>
              <w:t>km/h,</w:t>
            </w:r>
          </w:p>
          <w:p>
            <w:pPr>
              <w:pStyle w:val="128"/>
              <w:spacing w:line="252" w:lineRule="auto"/>
              <w:jc w:val="both"/>
              <w:rPr>
                <w:rFonts w:ascii="Times New Roman" w:hAnsi="Times New Roman" w:cs="Times New Roman"/>
                <w:lang w:eastAsia="ja-JP"/>
              </w:rPr>
            </w:pPr>
            <w:r>
              <w:rPr>
                <w:rFonts w:ascii="Times New Roman" w:hAnsi="Times New Roman" w:cs="Times New Roman"/>
                <w:lang w:eastAsia="ja-JP"/>
              </w:rPr>
              <w:t xml:space="preserve">10 users per BS </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center"/>
          </w:tcPr>
          <w:p>
            <w:pPr>
              <w:spacing w:after="120"/>
              <w:rPr>
                <w:b/>
                <w:sz w:val="18"/>
                <w:szCs w:val="18"/>
                <w:lang w:eastAsia="ja-JP"/>
              </w:rPr>
            </w:pPr>
            <w:r>
              <w:rPr>
                <w:b/>
                <w:sz w:val="18"/>
                <w:szCs w:val="18"/>
                <w:lang w:eastAsia="ja-JP"/>
              </w:rPr>
              <w:t>UE receiver type</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center"/>
          </w:tcPr>
          <w:p>
            <w:pPr>
              <w:pStyle w:val="128"/>
              <w:spacing w:line="252" w:lineRule="auto"/>
              <w:jc w:val="both"/>
              <w:rPr>
                <w:rFonts w:ascii="Times New Roman" w:hAnsi="Times New Roman" w:cs="Times New Roman"/>
                <w:color w:val="000000"/>
              </w:rPr>
            </w:pPr>
            <w:r>
              <w:rPr>
                <w:rFonts w:ascii="Times New Roman" w:hAnsi="Times New Roman" w:cs="Times New Roman"/>
                <w:color w:val="000000"/>
              </w:rPr>
              <w:t xml:space="preserve">MMSE-IRC </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center"/>
          </w:tcPr>
          <w:p>
            <w:pPr>
              <w:spacing w:after="120"/>
              <w:rPr>
                <w:b/>
                <w:sz w:val="18"/>
                <w:szCs w:val="18"/>
                <w:lang w:eastAsia="ja-JP"/>
              </w:rPr>
            </w:pPr>
            <w:r>
              <w:rPr>
                <w:b/>
                <w:sz w:val="18"/>
                <w:szCs w:val="18"/>
                <w:lang w:eastAsia="ja-JP"/>
              </w:rPr>
              <w:t>Transmission scheme</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center"/>
          </w:tcPr>
          <w:p>
            <w:pPr>
              <w:pStyle w:val="128"/>
              <w:spacing w:line="252" w:lineRule="auto"/>
              <w:jc w:val="both"/>
              <w:rPr>
                <w:rFonts w:ascii="Times New Roman" w:hAnsi="Times New Roman" w:cs="Times New Roman"/>
                <w:color w:val="000000"/>
              </w:rPr>
            </w:pPr>
            <w:r>
              <w:rPr>
                <w:rFonts w:ascii="Times New Roman" w:hAnsi="Times New Roman" w:cs="Times New Roman"/>
                <w:color w:val="000000"/>
              </w:rPr>
              <w:t xml:space="preserve">SU, Rank adaptation </w:t>
            </w:r>
          </w:p>
        </w:tc>
      </w:tr>
    </w:tbl>
    <w:p>
      <w:pPr>
        <w:spacing w:after="120"/>
        <w:rPr>
          <w:lang w:val="en-GB"/>
        </w:rPr>
      </w:pPr>
      <w:r>
        <w:rPr>
          <w:rFonts w:hint="eastAsia"/>
        </w:rPr>
        <w:t>Notes: Any other parameters</w:t>
      </w:r>
      <w:r>
        <w:t xml:space="preserve"> not specified</w:t>
      </w:r>
      <w:r>
        <w:rPr>
          <w:rFonts w:hint="eastAsia"/>
        </w:rPr>
        <w:t xml:space="preserve"> here remain the same as those in NR evaluation assumption </w:t>
      </w:r>
      <w:r>
        <w:t>for beam management in Rel-16 eNR-MIMO.</w:t>
      </w:r>
    </w:p>
    <w:p>
      <w:pPr>
        <w:pStyle w:val="127"/>
        <w:snapToGrid w:val="0"/>
        <w:spacing w:after="120"/>
        <w:rPr>
          <w:sz w:val="20"/>
          <w:szCs w:val="20"/>
          <w:lang w:val="en-GB"/>
        </w:rPr>
      </w:pPr>
    </w:p>
    <w:p>
      <w:pPr>
        <w:pStyle w:val="40"/>
        <w:spacing w:after="120"/>
        <w:rPr>
          <w:rFonts w:ascii="Times New Roman" w:hAnsi="Times New Roman"/>
          <w:b w:val="0"/>
          <w:lang w:eastAsia="ja-JP"/>
        </w:rPr>
      </w:pPr>
      <w:r>
        <w:rPr>
          <w:rFonts w:ascii="Times New Roman" w:hAnsi="Times New Roman"/>
          <w:lang w:eastAsia="ja-JP"/>
        </w:rPr>
        <w:t>Table 6</w:t>
      </w:r>
      <w:r>
        <w:rPr>
          <w:rFonts w:ascii="Times New Roman" w:hAnsi="Times New Roman"/>
          <w:b w:val="0"/>
          <w:lang w:eastAsia="ja-JP"/>
        </w:rPr>
        <w:t xml:space="preserve"> Simulation assumptions for dense urban</w:t>
      </w:r>
      <w:r>
        <w:rPr>
          <w:rFonts w:hint="eastAsia" w:ascii="Times New Roman" w:hAnsi="Times New Roman"/>
          <w:b w:val="0"/>
          <w:lang w:eastAsia="ja-JP"/>
        </w:rPr>
        <w:t xml:space="preserve"> system</w:t>
      </w:r>
      <w:r>
        <w:rPr>
          <w:rFonts w:ascii="Times New Roman" w:hAnsi="Times New Roman"/>
          <w:b w:val="0"/>
          <w:lang w:eastAsia="ja-JP"/>
        </w:rPr>
        <w:t>-level evaluation</w:t>
      </w:r>
    </w:p>
    <w:tbl>
      <w:tblPr>
        <w:tblStyle w:val="25"/>
        <w:tblW w:w="9451" w:type="dxa"/>
        <w:tblInd w:w="117" w:type="dxa"/>
        <w:tblLayout w:type="fixed"/>
        <w:tblCellMar>
          <w:top w:w="0" w:type="dxa"/>
          <w:left w:w="0" w:type="dxa"/>
          <w:bottom w:w="0" w:type="dxa"/>
          <w:right w:w="0" w:type="dxa"/>
        </w:tblCellMar>
      </w:tblPr>
      <w:tblGrid>
        <w:gridCol w:w="2223"/>
        <w:gridCol w:w="7228"/>
      </w:tblGrid>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7" w:type="dxa"/>
              <w:bottom w:w="0" w:type="dxa"/>
              <w:right w:w="107" w:type="dxa"/>
            </w:tcMar>
          </w:tcPr>
          <w:p>
            <w:pPr>
              <w:spacing w:after="120"/>
              <w:rPr>
                <w:b/>
                <w:bCs/>
                <w:sz w:val="18"/>
                <w:szCs w:val="18"/>
                <w:lang w:eastAsia="ja-JP"/>
              </w:rPr>
            </w:pPr>
            <w:r>
              <w:rPr>
                <w:b/>
                <w:bCs/>
                <w:sz w:val="18"/>
                <w:szCs w:val="18"/>
                <w:lang w:eastAsia="ja-JP"/>
              </w:rPr>
              <w:t>Attributes</w:t>
            </w:r>
          </w:p>
        </w:tc>
        <w:tc>
          <w:tcPr>
            <w:tcW w:w="7228"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7" w:type="dxa"/>
              <w:bottom w:w="0" w:type="dxa"/>
              <w:right w:w="107" w:type="dxa"/>
            </w:tcMar>
          </w:tcPr>
          <w:p>
            <w:pPr>
              <w:spacing w:after="120"/>
              <w:rPr>
                <w:b/>
                <w:bCs/>
                <w:sz w:val="18"/>
                <w:szCs w:val="18"/>
                <w:lang w:eastAsia="ja-JP"/>
              </w:rPr>
            </w:pPr>
            <w:r>
              <w:rPr>
                <w:b/>
                <w:bCs/>
                <w:sz w:val="18"/>
                <w:szCs w:val="18"/>
                <w:lang w:eastAsia="ja-JP"/>
              </w:rPr>
              <w:t>Values or assumptions</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Carrier Frequency</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rPr>
            </w:pPr>
            <w:r>
              <w:rPr>
                <w:sz w:val="18"/>
                <w:szCs w:val="18"/>
                <w:lang w:eastAsia="ja-JP"/>
              </w:rPr>
              <w:t>30 GHz</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rPr>
            </w:pPr>
            <w:r>
              <w:rPr>
                <w:b/>
                <w:sz w:val="18"/>
                <w:szCs w:val="18"/>
              </w:rPr>
              <w:t>Mode</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DL only</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rPr>
            </w:pPr>
            <w:r>
              <w:rPr>
                <w:b/>
                <w:sz w:val="18"/>
                <w:szCs w:val="18"/>
              </w:rPr>
              <w:t>Bandwidth</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80</w:t>
            </w:r>
            <w:r>
              <w:rPr>
                <w:rFonts w:hint="eastAsia"/>
                <w:sz w:val="18"/>
                <w:szCs w:val="18"/>
              </w:rPr>
              <w:t xml:space="preserve"> </w:t>
            </w:r>
            <w:r>
              <w:rPr>
                <w:sz w:val="18"/>
                <w:szCs w:val="18"/>
                <w:lang w:eastAsia="ja-JP"/>
              </w:rPr>
              <w:t>MHz</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rPr>
            </w:pPr>
            <w:r>
              <w:rPr>
                <w:b/>
                <w:sz w:val="18"/>
                <w:szCs w:val="18"/>
              </w:rPr>
              <w:t>Subcarrier Spacing</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120</w:t>
            </w:r>
            <w:r>
              <w:rPr>
                <w:rFonts w:hint="eastAsia"/>
                <w:sz w:val="18"/>
                <w:szCs w:val="18"/>
              </w:rPr>
              <w:t xml:space="preserve"> </w:t>
            </w:r>
            <w:r>
              <w:rPr>
                <w:sz w:val="18"/>
                <w:szCs w:val="18"/>
                <w:lang w:eastAsia="ja-JP"/>
              </w:rPr>
              <w:t>kHz</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Channel Model</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rPr>
            </w:pPr>
            <w:r>
              <w:rPr>
                <w:sz w:val="18"/>
                <w:szCs w:val="18"/>
              </w:rPr>
              <w:t>Dense Urban Micro layer only in TR 38.900</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TXRU mapping to antenna elements</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rPr>
              <w:t xml:space="preserve">One </w:t>
            </w:r>
            <w:r>
              <w:rPr>
                <w:sz w:val="18"/>
                <w:szCs w:val="18"/>
                <w:lang w:eastAsia="ja-JP"/>
              </w:rPr>
              <w:t>TXRU per panel per polarization</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TXRU mapping weights</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rPr>
            </w:pPr>
            <w:r>
              <w:rPr>
                <w:sz w:val="18"/>
                <w:szCs w:val="18"/>
                <w:lang w:eastAsia="ja-JP"/>
              </w:rPr>
              <w:t>2D TXRU virtualization weight for each panel is the Kronecker product between vertical and horizontal weight vectors taken from DFT, i.e., 2D sub-array partition model defined in TR36.897.</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rPr>
            </w:pPr>
            <w:r>
              <w:rPr>
                <w:b/>
                <w:sz w:val="18"/>
                <w:szCs w:val="18"/>
                <w:lang w:eastAsia="ja-JP"/>
              </w:rPr>
              <w:t>Criteria for beam selection</w:t>
            </w:r>
            <w:r>
              <w:rPr>
                <w:b/>
                <w:sz w:val="18"/>
                <w:szCs w:val="18"/>
              </w:rPr>
              <w:t xml:space="preserve"> for serving TRP</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Select the best beam pair among the limited set of DFT beams, based on the criteria of maximizing receive power after beamforming.</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Constraints for the range of selective beams per TRP sector</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sz w:val="18"/>
                <w:szCs w:val="18"/>
              </w:rPr>
            </w:pPr>
            <w:r>
              <w:rPr>
                <w:sz w:val="18"/>
                <w:szCs w:val="18"/>
              </w:rPr>
              <w:t>Two UE panels are attached with two respective TRP.</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center"/>
          </w:tcPr>
          <w:p>
            <w:pPr>
              <w:spacing w:after="120"/>
            </w:pPr>
            <w:r>
              <w:rPr>
                <w:b/>
                <w:sz w:val="18"/>
                <w:szCs w:val="18"/>
                <w:lang w:eastAsia="ja-JP"/>
              </w:rPr>
              <w:t>ISD</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vAlign w:val="center"/>
          </w:tcPr>
          <w:p>
            <w:pPr>
              <w:pStyle w:val="75"/>
              <w:rPr>
                <w:sz w:val="20"/>
                <w:szCs w:val="20"/>
              </w:rPr>
            </w:pPr>
            <w:r>
              <w:rPr>
                <w:rFonts w:hint="eastAsia"/>
                <w:sz w:val="20"/>
                <w:szCs w:val="20"/>
              </w:rPr>
              <w:t>20</w:t>
            </w:r>
            <w:r>
              <w:rPr>
                <w:sz w:val="20"/>
                <w:szCs w:val="20"/>
              </w:rPr>
              <w:t>0</w:t>
            </w:r>
            <w:r>
              <w:rPr>
                <w:rFonts w:hint="eastAsia"/>
                <w:sz w:val="20"/>
                <w:szCs w:val="20"/>
              </w:rPr>
              <w:t xml:space="preserve"> m</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BS Tx power</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43</w:t>
            </w:r>
            <w:r>
              <w:rPr>
                <w:rFonts w:hint="eastAsia"/>
                <w:sz w:val="18"/>
                <w:szCs w:val="18"/>
              </w:rPr>
              <w:t xml:space="preserve"> </w:t>
            </w:r>
            <w:r>
              <w:rPr>
                <w:sz w:val="18"/>
                <w:szCs w:val="18"/>
                <w:lang w:eastAsia="ja-JP"/>
              </w:rPr>
              <w:t>dBm</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BS Antenna Configuration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pStyle w:val="43"/>
              <w:spacing w:after="120"/>
              <w:rPr>
                <w:rFonts w:ascii="Times New Roman" w:hAnsi="Times New Roman"/>
                <w:kern w:val="2"/>
                <w:sz w:val="20"/>
                <w:lang w:val="sv-SE"/>
              </w:rPr>
            </w:pPr>
            <w:bookmarkStart w:id="2" w:name="_Hlk526726552"/>
            <w:r>
              <w:rPr>
                <w:rFonts w:ascii="Times New Roman" w:hAnsi="Times New Roman"/>
                <w:kern w:val="2"/>
                <w:sz w:val="20"/>
              </w:rPr>
              <w:t>(M, N, P, M</w:t>
            </w:r>
            <w:r>
              <w:rPr>
                <w:rFonts w:ascii="Times New Roman" w:hAnsi="Times New Roman"/>
                <w:kern w:val="2"/>
                <w:sz w:val="20"/>
                <w:vertAlign w:val="subscript"/>
              </w:rPr>
              <w:t>g</w:t>
            </w:r>
            <w:r>
              <w:rPr>
                <w:rFonts w:ascii="Times New Roman" w:hAnsi="Times New Roman"/>
                <w:kern w:val="2"/>
                <w:sz w:val="20"/>
              </w:rPr>
              <w:t>, N</w:t>
            </w:r>
            <w:r>
              <w:rPr>
                <w:rFonts w:ascii="Times New Roman" w:hAnsi="Times New Roman"/>
                <w:kern w:val="2"/>
                <w:sz w:val="20"/>
                <w:vertAlign w:val="subscript"/>
              </w:rPr>
              <w:t>g</w:t>
            </w:r>
            <w:r>
              <w:rPr>
                <w:rFonts w:ascii="Times New Roman" w:hAnsi="Times New Roman"/>
                <w:kern w:val="2"/>
                <w:sz w:val="20"/>
              </w:rPr>
              <w:t xml:space="preserve">) = (4, 8, 2, 1, 2). </w:t>
            </w:r>
            <w:r>
              <w:rPr>
                <w:rFonts w:ascii="Times New Roman" w:hAnsi="Times New Roman"/>
                <w:sz w:val="20"/>
                <w:lang w:val="sv-SE" w:eastAsia="ja-JP"/>
              </w:rPr>
              <w:t>(d</w:t>
            </w:r>
            <w:r>
              <w:rPr>
                <w:rFonts w:ascii="Times New Roman" w:hAnsi="Times New Roman"/>
                <w:sz w:val="20"/>
                <w:vertAlign w:val="subscript"/>
                <w:lang w:val="sv-SE" w:eastAsia="ja-JP"/>
              </w:rPr>
              <w:t>V</w:t>
            </w:r>
            <w:r>
              <w:rPr>
                <w:rFonts w:ascii="Times New Roman" w:hAnsi="Times New Roman"/>
                <w:sz w:val="20"/>
                <w:lang w:val="sv-SE" w:eastAsia="ja-JP"/>
              </w:rPr>
              <w:t>, d</w:t>
            </w:r>
            <w:r>
              <w:rPr>
                <w:rFonts w:ascii="Times New Roman" w:hAnsi="Times New Roman"/>
                <w:sz w:val="20"/>
                <w:vertAlign w:val="subscript"/>
                <w:lang w:val="sv-SE" w:eastAsia="ja-JP"/>
              </w:rPr>
              <w:t>H</w:t>
            </w:r>
            <w:r>
              <w:rPr>
                <w:rFonts w:ascii="Times New Roman" w:hAnsi="Times New Roman"/>
                <w:sz w:val="20"/>
                <w:lang w:val="sv-SE" w:eastAsia="ja-JP"/>
              </w:rPr>
              <w:t>)</w:t>
            </w:r>
            <w:r>
              <w:rPr>
                <w:rFonts w:ascii="Times New Roman" w:hAnsi="Times New Roman"/>
                <w:kern w:val="2"/>
                <w:sz w:val="20"/>
                <w:lang w:val="sv-SE"/>
              </w:rPr>
              <w:t xml:space="preserve"> = (0.5, 0.5) </w:t>
            </w:r>
            <w:r>
              <w:rPr>
                <w:rFonts w:ascii="Times New Roman" w:hAnsi="Times New Roman"/>
                <w:kern w:val="2"/>
                <w:sz w:val="20"/>
              </w:rPr>
              <w:t>λ</w:t>
            </w:r>
            <w:r>
              <w:rPr>
                <w:rFonts w:ascii="Times New Roman" w:hAnsi="Times New Roman"/>
                <w:kern w:val="2"/>
                <w:sz w:val="20"/>
                <w:lang w:val="sv-SE"/>
              </w:rPr>
              <w:t xml:space="preserve">. </w:t>
            </w:r>
            <w:r>
              <w:rPr>
                <w:rFonts w:ascii="Times New Roman" w:hAnsi="Times New Roman"/>
                <w:sz w:val="20"/>
                <w:lang w:val="sv-SE" w:eastAsia="ja-JP"/>
              </w:rPr>
              <w:t>(d</w:t>
            </w:r>
            <w:r>
              <w:rPr>
                <w:rFonts w:ascii="Times New Roman" w:hAnsi="Times New Roman"/>
                <w:sz w:val="20"/>
                <w:vertAlign w:val="subscript"/>
                <w:lang w:val="sv-SE" w:eastAsia="ja-JP"/>
              </w:rPr>
              <w:t>g,V</w:t>
            </w:r>
            <w:r>
              <w:rPr>
                <w:rFonts w:ascii="Times New Roman" w:hAnsi="Times New Roman"/>
                <w:sz w:val="20"/>
                <w:lang w:val="sv-SE" w:eastAsia="ja-JP"/>
              </w:rPr>
              <w:t>, d</w:t>
            </w:r>
            <w:r>
              <w:rPr>
                <w:rFonts w:ascii="Times New Roman" w:hAnsi="Times New Roman"/>
                <w:sz w:val="20"/>
                <w:vertAlign w:val="subscript"/>
                <w:lang w:val="sv-SE" w:eastAsia="ja-JP"/>
              </w:rPr>
              <w:t>g,H</w:t>
            </w:r>
            <w:r>
              <w:rPr>
                <w:rFonts w:ascii="Times New Roman" w:hAnsi="Times New Roman"/>
                <w:sz w:val="20"/>
                <w:lang w:val="sv-SE" w:eastAsia="ja-JP"/>
              </w:rPr>
              <w:t>)</w:t>
            </w:r>
            <w:r>
              <w:rPr>
                <w:rFonts w:ascii="Times New Roman" w:hAnsi="Times New Roman"/>
                <w:kern w:val="2"/>
                <w:sz w:val="20"/>
                <w:lang w:val="sv-SE"/>
              </w:rPr>
              <w:t xml:space="preserve"> = (2.0, 4.0) </w:t>
            </w:r>
            <w:r>
              <w:rPr>
                <w:rFonts w:ascii="Times New Roman" w:hAnsi="Times New Roman"/>
                <w:kern w:val="2"/>
                <w:sz w:val="20"/>
              </w:rPr>
              <w:t>λ</w:t>
            </w:r>
          </w:p>
          <w:bookmarkEnd w:id="2"/>
          <w:p>
            <w:pPr>
              <w:spacing w:after="120"/>
              <w:rPr>
                <w:sz w:val="18"/>
                <w:szCs w:val="18"/>
                <w:lang w:val="sv-SE"/>
              </w:rPr>
            </w:pP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Configuration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rPr>
            </w:pPr>
            <w:r>
              <w:t xml:space="preserve">(M, N, P, Mg, Ng) = (2, 4, 2, 1, 2); </w:t>
            </w:r>
            <w:r>
              <w:rPr>
                <w:rFonts w:eastAsia="Malgun Gothic"/>
                <w:kern w:val="24"/>
                <w:lang w:val="sv-SE"/>
              </w:rPr>
              <w:t>(d</w:t>
            </w:r>
            <w:r>
              <w:rPr>
                <w:rFonts w:eastAsia="Malgun Gothic"/>
                <w:kern w:val="24"/>
                <w:position w:val="-6"/>
                <w:vertAlign w:val="subscript"/>
                <w:lang w:val="sv-SE"/>
              </w:rPr>
              <w:t>V</w:t>
            </w:r>
            <w:r>
              <w:rPr>
                <w:rFonts w:eastAsia="Malgun Gothic"/>
                <w:kern w:val="24"/>
                <w:lang w:val="sv-SE"/>
              </w:rPr>
              <w:t>,d</w:t>
            </w:r>
            <w:r>
              <w:rPr>
                <w:rFonts w:eastAsia="Malgun Gothic"/>
                <w:kern w:val="24"/>
                <w:position w:val="-6"/>
                <w:vertAlign w:val="subscript"/>
                <w:lang w:val="sv-SE"/>
              </w:rPr>
              <w:t>H</w:t>
            </w:r>
            <w:r>
              <w:rPr>
                <w:rFonts w:eastAsia="Malgun Gothic"/>
                <w:kern w:val="24"/>
                <w:lang w:val="sv-SE"/>
              </w:rPr>
              <w:t>) = (0.5, 0.5)</w:t>
            </w:r>
            <w:r>
              <w:rPr>
                <w:rFonts w:eastAsia="Malgun Gothic"/>
                <w:kern w:val="24"/>
              </w:rPr>
              <w:t>λ</w:t>
            </w:r>
            <w:r>
              <w:rPr>
                <w:rFonts w:eastAsia="Malgun Gothic"/>
                <w:kern w:val="24"/>
                <w:lang w:val="sv-SE"/>
              </w:rPr>
              <w:t>. (d</w:t>
            </w:r>
            <w:r>
              <w:rPr>
                <w:rFonts w:eastAsia="Malgun Gothic"/>
                <w:kern w:val="24"/>
                <w:position w:val="-6"/>
                <w:vertAlign w:val="subscript"/>
                <w:lang w:val="sv-SE"/>
              </w:rPr>
              <w:t>g,V</w:t>
            </w:r>
            <w:r>
              <w:rPr>
                <w:rFonts w:eastAsia="Malgun Gothic"/>
                <w:kern w:val="24"/>
                <w:lang w:val="sv-SE"/>
              </w:rPr>
              <w:t>,d</w:t>
            </w:r>
            <w:r>
              <w:rPr>
                <w:rFonts w:eastAsia="Malgun Gothic"/>
                <w:kern w:val="24"/>
                <w:position w:val="-6"/>
                <w:vertAlign w:val="subscript"/>
                <w:lang w:val="sv-SE"/>
              </w:rPr>
              <w:t>g,H</w:t>
            </w:r>
            <w:r>
              <w:rPr>
                <w:rFonts w:eastAsia="Malgun Gothic"/>
                <w:kern w:val="24"/>
                <w:lang w:val="sv-SE"/>
              </w:rPr>
              <w:t>) = (0, 0)</w:t>
            </w:r>
            <w:r>
              <w:rPr>
                <w:rFonts w:eastAsia="Malgun Gothic"/>
                <w:kern w:val="24"/>
              </w:rPr>
              <w:t>λ</w:t>
            </w:r>
            <w:r>
              <w:rPr>
                <w:rFonts w:eastAsia="Malgun Gothic"/>
                <w:kern w:val="24"/>
                <w:lang w:val="sv-SE"/>
              </w:rPr>
              <w:t>.</w:t>
            </w:r>
            <w:r>
              <w:t xml:space="preserve"> </w:t>
            </w:r>
            <w:r>
              <w:rPr>
                <w:rFonts w:eastAsia="Malgun Gothic"/>
                <w:kern w:val="24"/>
              </w:rPr>
              <w:t>Θ</w:t>
            </w:r>
            <w:r>
              <w:rPr>
                <w:rFonts w:eastAsia="Malgun Gothic"/>
                <w:kern w:val="24"/>
                <w:position w:val="-6"/>
                <w:vertAlign w:val="subscript"/>
              </w:rPr>
              <w:t>mg,ng</w:t>
            </w:r>
            <w:r>
              <w:rPr>
                <w:rFonts w:eastAsia="Malgun Gothic"/>
                <w:kern w:val="24"/>
              </w:rPr>
              <w:t>=90; Ω</w:t>
            </w:r>
            <w:r>
              <w:rPr>
                <w:rFonts w:eastAsia="Malgun Gothic"/>
                <w:kern w:val="24"/>
                <w:position w:val="-6"/>
                <w:vertAlign w:val="subscript"/>
              </w:rPr>
              <w:t>0,1</w:t>
            </w:r>
            <w:r>
              <w:rPr>
                <w:rFonts w:eastAsia="Malgun Gothic"/>
                <w:kern w:val="24"/>
              </w:rPr>
              <w:t>=Ω</w:t>
            </w:r>
            <w:r>
              <w:rPr>
                <w:rFonts w:eastAsia="Malgun Gothic"/>
                <w:kern w:val="24"/>
                <w:position w:val="-6"/>
                <w:vertAlign w:val="subscript"/>
              </w:rPr>
              <w:t>0,0</w:t>
            </w:r>
            <w:r>
              <w:rPr>
                <w:rFonts w:eastAsia="Malgun Gothic"/>
                <w:kern w:val="24"/>
              </w:rPr>
              <w:t>+180;</w:t>
            </w:r>
            <w:r>
              <w:t xml:space="preserve"> The polarization angles are 0 and 90</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array orientation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adjustRightInd w:val="0"/>
              <w:snapToGrid w:val="0"/>
              <w:spacing w:after="120"/>
              <w:rPr>
                <w:sz w:val="18"/>
                <w:szCs w:val="18"/>
                <w:lang w:eastAsia="ja-JP"/>
              </w:rPr>
            </w:pPr>
            <w:r>
              <w:rPr>
                <w:rFonts w:eastAsia="Malgun Gothic"/>
                <w:kern w:val="24"/>
                <w:sz w:val="18"/>
                <w:szCs w:val="21"/>
              </w:rPr>
              <w:t>Ω</w:t>
            </w:r>
            <w:r>
              <w:rPr>
                <w:rFonts w:eastAsia="Malgun Gothic"/>
                <w:i/>
                <w:iCs/>
                <w:kern w:val="24"/>
                <w:position w:val="-6"/>
                <w:sz w:val="18"/>
                <w:szCs w:val="21"/>
                <w:vertAlign w:val="subscript"/>
              </w:rPr>
              <w:t xml:space="preserve">UT, </w:t>
            </w:r>
            <w:r>
              <w:rPr>
                <w:rFonts w:eastAsia="MS Mincho"/>
                <w:kern w:val="24"/>
                <w:sz w:val="18"/>
                <w:szCs w:val="21"/>
              </w:rPr>
              <w:t xml:space="preserve">uniformly distributed on [0,360] degree, </w:t>
            </w:r>
            <w:r>
              <w:rPr>
                <w:rFonts w:eastAsia="Malgun Gothic"/>
                <w:kern w:val="24"/>
                <w:sz w:val="18"/>
                <w:szCs w:val="21"/>
              </w:rPr>
              <w:t>Ω</w:t>
            </w:r>
            <w:r>
              <w:rPr>
                <w:rFonts w:eastAsia="Malgun Gothic"/>
                <w:i/>
                <w:iCs/>
                <w:kern w:val="24"/>
                <w:position w:val="-6"/>
                <w:sz w:val="18"/>
                <w:szCs w:val="21"/>
                <w:vertAlign w:val="subscript"/>
              </w:rPr>
              <w:t>UT,</w:t>
            </w:r>
            <w:r>
              <w:rPr>
                <w:rFonts w:eastAsia="MS Mincho"/>
                <w:kern w:val="24"/>
                <w:sz w:val="18"/>
                <w:szCs w:val="18"/>
              </w:rPr>
              <w:t xml:space="preserve">= 0 </w:t>
            </w:r>
            <w:r>
              <w:rPr>
                <w:sz w:val="18"/>
                <w:szCs w:val="18"/>
              </w:rPr>
              <w:t>degree,</w:t>
            </w:r>
            <w:r>
              <w:rPr>
                <w:sz w:val="15"/>
              </w:rPr>
              <w:t xml:space="preserve"> </w:t>
            </w:r>
            <w:r>
              <w:rPr>
                <w:rFonts w:eastAsia="Malgun Gothic"/>
                <w:kern w:val="24"/>
                <w:sz w:val="18"/>
                <w:szCs w:val="21"/>
              </w:rPr>
              <w:t>Ω</w:t>
            </w:r>
            <w:r>
              <w:rPr>
                <w:rFonts w:eastAsia="Malgun Gothic"/>
                <w:i/>
                <w:iCs/>
                <w:kern w:val="24"/>
                <w:position w:val="-6"/>
                <w:sz w:val="18"/>
                <w:szCs w:val="21"/>
                <w:vertAlign w:val="subscript"/>
              </w:rPr>
              <w:t>UT,</w:t>
            </w:r>
            <w:r>
              <w:rPr>
                <w:rFonts w:eastAsia="MS Mincho"/>
                <w:kern w:val="24"/>
                <w:sz w:val="18"/>
                <w:szCs w:val="18"/>
              </w:rPr>
              <w:t xml:space="preserve">= 0 </w:t>
            </w:r>
            <w:r>
              <w:rPr>
                <w:sz w:val="18"/>
                <w:szCs w:val="18"/>
              </w:rPr>
              <w:t>degree</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rPr>
              <w:t>BS</w:t>
            </w:r>
            <w:r>
              <w:rPr>
                <w:b/>
                <w:sz w:val="18"/>
                <w:szCs w:val="18"/>
                <w:lang w:eastAsia="ja-JP"/>
              </w:rPr>
              <w:t xml:space="preserve"> antenna pattern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rPr>
            </w:pPr>
            <w:r>
              <w:rPr>
                <w:sz w:val="18"/>
                <w:szCs w:val="18"/>
                <w:lang w:eastAsia="ja-JP"/>
              </w:rPr>
              <w:t>According to TR38.802</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antenna pattern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rPr>
            </w:pPr>
            <w:r>
              <w:rPr>
                <w:sz w:val="18"/>
                <w:szCs w:val="18"/>
              </w:rPr>
              <w:t xml:space="preserve">See </w:t>
            </w:r>
            <w:r>
              <w:rPr>
                <w:sz w:val="18"/>
                <w:szCs w:val="18"/>
                <w:lang w:eastAsia="ja-JP"/>
              </w:rPr>
              <w:t>Table A.</w:t>
            </w:r>
            <w:r>
              <w:rPr>
                <w:sz w:val="18"/>
                <w:szCs w:val="18"/>
              </w:rPr>
              <w:t>2.1-8 in TR 38.802</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BS antenna height</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25</w:t>
            </w:r>
            <w:r>
              <w:rPr>
                <w:rFonts w:hint="eastAsia"/>
                <w:sz w:val="18"/>
                <w:szCs w:val="18"/>
              </w:rPr>
              <w:t xml:space="preserve"> </w:t>
            </w:r>
            <w:r>
              <w:rPr>
                <w:sz w:val="18"/>
                <w:szCs w:val="18"/>
                <w:lang w:eastAsia="ja-JP"/>
              </w:rPr>
              <w:t>m</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antenna height</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1.5 m</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antenna gain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5</w:t>
            </w:r>
            <w:r>
              <w:rPr>
                <w:rFonts w:hint="eastAsia"/>
                <w:sz w:val="18"/>
                <w:szCs w:val="18"/>
              </w:rPr>
              <w:t xml:space="preserve"> </w:t>
            </w:r>
            <w:r>
              <w:rPr>
                <w:sz w:val="18"/>
                <w:szCs w:val="18"/>
                <w:lang w:eastAsia="ja-JP"/>
              </w:rPr>
              <w:t>dBi</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Noise figure for BS</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7</w:t>
            </w:r>
            <w:r>
              <w:rPr>
                <w:rFonts w:hint="eastAsia"/>
                <w:sz w:val="18"/>
                <w:szCs w:val="18"/>
              </w:rPr>
              <w:t xml:space="preserve"> </w:t>
            </w:r>
            <w:r>
              <w:rPr>
                <w:sz w:val="18"/>
                <w:szCs w:val="18"/>
                <w:lang w:eastAsia="ja-JP"/>
              </w:rPr>
              <w:t>dB</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receiver noise figure</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tcPr>
          <w:p>
            <w:pPr>
              <w:spacing w:after="120"/>
              <w:rPr>
                <w:sz w:val="18"/>
                <w:szCs w:val="18"/>
                <w:lang w:eastAsia="ja-JP"/>
              </w:rPr>
            </w:pPr>
            <w:r>
              <w:rPr>
                <w:sz w:val="18"/>
                <w:szCs w:val="18"/>
                <w:lang w:eastAsia="ja-JP"/>
              </w:rPr>
              <w:t>10</w:t>
            </w:r>
            <w:r>
              <w:rPr>
                <w:rFonts w:hint="eastAsia"/>
                <w:sz w:val="18"/>
                <w:szCs w:val="18"/>
              </w:rPr>
              <w:t xml:space="preserve"> </w:t>
            </w:r>
            <w:r>
              <w:rPr>
                <w:sz w:val="18"/>
                <w:szCs w:val="18"/>
                <w:lang w:eastAsia="ja-JP"/>
              </w:rPr>
              <w:t>dB</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spacing w:after="120"/>
              <w:rPr>
                <w:b/>
                <w:sz w:val="18"/>
                <w:szCs w:val="18"/>
                <w:lang w:eastAsia="ja-JP"/>
              </w:rPr>
            </w:pPr>
            <w:r>
              <w:rPr>
                <w:b/>
                <w:sz w:val="18"/>
                <w:szCs w:val="18"/>
                <w:lang w:eastAsia="ja-JP"/>
              </w:rPr>
              <w:t>UE distribution</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tcPr>
          <w:p>
            <w:pPr>
              <w:pStyle w:val="128"/>
              <w:spacing w:line="252" w:lineRule="auto"/>
              <w:jc w:val="both"/>
              <w:rPr>
                <w:rFonts w:ascii="Times New Roman" w:hAnsi="Times New Roman" w:cs="Times New Roman"/>
                <w:lang w:eastAsia="ja-JP"/>
              </w:rPr>
            </w:pPr>
            <w:r>
              <w:rPr>
                <w:rFonts w:ascii="Times New Roman" w:hAnsi="Times New Roman" w:cs="Times New Roman"/>
                <w:lang w:eastAsia="ja-JP"/>
              </w:rPr>
              <w:t>100% Indoor, 60</w:t>
            </w:r>
            <w:r>
              <w:rPr>
                <w:rFonts w:hint="eastAsia" w:ascii="Times New Roman" w:hAnsi="Times New Roman" w:eastAsia="宋体" w:cs="Times New Roman"/>
                <w:lang w:eastAsia="zh-CN"/>
              </w:rPr>
              <w:t xml:space="preserve"> </w:t>
            </w:r>
            <w:r>
              <w:rPr>
                <w:rFonts w:ascii="Times New Roman" w:hAnsi="Times New Roman" w:cs="Times New Roman"/>
                <w:lang w:eastAsia="ja-JP"/>
              </w:rPr>
              <w:t>km/h,</w:t>
            </w:r>
          </w:p>
          <w:p>
            <w:pPr>
              <w:pStyle w:val="128"/>
              <w:spacing w:line="252" w:lineRule="auto"/>
              <w:jc w:val="both"/>
              <w:rPr>
                <w:rFonts w:ascii="Times New Roman" w:hAnsi="Times New Roman" w:cs="Times New Roman"/>
                <w:lang w:eastAsia="ja-JP"/>
              </w:rPr>
            </w:pPr>
            <w:r>
              <w:rPr>
                <w:rFonts w:ascii="Times New Roman" w:hAnsi="Times New Roman" w:cs="Times New Roman"/>
                <w:lang w:eastAsia="ja-JP"/>
              </w:rPr>
              <w:t xml:space="preserve">10 users per BS </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center"/>
          </w:tcPr>
          <w:p>
            <w:pPr>
              <w:spacing w:after="120"/>
              <w:rPr>
                <w:b/>
                <w:sz w:val="18"/>
                <w:szCs w:val="18"/>
                <w:lang w:eastAsia="ja-JP"/>
              </w:rPr>
            </w:pPr>
            <w:r>
              <w:rPr>
                <w:b/>
                <w:sz w:val="18"/>
                <w:szCs w:val="18"/>
                <w:lang w:eastAsia="ja-JP"/>
              </w:rPr>
              <w:t>UE receiver type</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center"/>
          </w:tcPr>
          <w:p>
            <w:pPr>
              <w:pStyle w:val="128"/>
              <w:spacing w:line="252" w:lineRule="auto"/>
              <w:jc w:val="both"/>
              <w:rPr>
                <w:rFonts w:ascii="Times New Roman" w:hAnsi="Times New Roman" w:cs="Times New Roman"/>
                <w:color w:val="000000"/>
              </w:rPr>
            </w:pPr>
            <w:r>
              <w:rPr>
                <w:rFonts w:ascii="Times New Roman" w:hAnsi="Times New Roman" w:cs="Times New Roman"/>
                <w:color w:val="000000"/>
              </w:rPr>
              <w:t xml:space="preserve">MMSE-IRC </w:t>
            </w:r>
          </w:p>
        </w:tc>
      </w:tr>
      <w:tr>
        <w:tblPrEx>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center"/>
          </w:tcPr>
          <w:p>
            <w:pPr>
              <w:spacing w:after="120"/>
              <w:rPr>
                <w:b/>
                <w:sz w:val="18"/>
                <w:szCs w:val="18"/>
                <w:lang w:eastAsia="ja-JP"/>
              </w:rPr>
            </w:pPr>
            <w:r>
              <w:rPr>
                <w:b/>
                <w:sz w:val="18"/>
                <w:szCs w:val="18"/>
                <w:lang w:eastAsia="ja-JP"/>
              </w:rPr>
              <w:t>Transmission scheme</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center"/>
          </w:tcPr>
          <w:p>
            <w:pPr>
              <w:pStyle w:val="128"/>
              <w:spacing w:line="252" w:lineRule="auto"/>
              <w:jc w:val="both"/>
              <w:rPr>
                <w:rFonts w:ascii="Times New Roman" w:hAnsi="Times New Roman" w:cs="Times New Roman"/>
                <w:color w:val="000000"/>
              </w:rPr>
            </w:pPr>
            <w:r>
              <w:rPr>
                <w:rFonts w:ascii="Times New Roman" w:hAnsi="Times New Roman" w:cs="Times New Roman"/>
                <w:color w:val="000000"/>
              </w:rPr>
              <w:t xml:space="preserve">SU, Rank adaptation </w:t>
            </w:r>
          </w:p>
        </w:tc>
      </w:tr>
    </w:tbl>
    <w:p>
      <w:pPr>
        <w:snapToGrid w:val="0"/>
        <w:spacing w:before="120" w:beforeLines="50" w:after="120"/>
        <w:rPr>
          <w:sz w:val="28"/>
          <w:lang w:val="en-GB"/>
        </w:rPr>
      </w:pPr>
      <w:r>
        <w:rPr>
          <w:rFonts w:hint="eastAsia"/>
        </w:rPr>
        <w:t>Notes: Any other parameters</w:t>
      </w:r>
      <w:r>
        <w:t xml:space="preserve"> not specified</w:t>
      </w:r>
      <w:r>
        <w:rPr>
          <w:rFonts w:hint="eastAsia"/>
        </w:rPr>
        <w:t xml:space="preserve"> here remain the same as those in NR evaluation assumption </w:t>
      </w:r>
      <w:r>
        <w:t>for beam management in Rel-16 eNR-MIMO.</w:t>
      </w:r>
    </w:p>
    <w:p>
      <w:pPr>
        <w:pStyle w:val="40"/>
        <w:spacing w:after="120"/>
        <w:rPr>
          <w:rFonts w:ascii="Times New Roman" w:hAnsi="Times New Roman"/>
          <w:lang w:eastAsia="zh-CN"/>
        </w:rPr>
      </w:pPr>
      <w:r>
        <w:rPr>
          <w:rFonts w:ascii="Times New Roman" w:hAnsi="Times New Roman"/>
        </w:rPr>
        <w:t>Table 7</w:t>
      </w:r>
      <w:r>
        <w:rPr>
          <w:rFonts w:hint="eastAsia" w:ascii="Times New Roman" w:hAnsi="Times New Roman"/>
          <w:lang w:val="en-US" w:eastAsia="zh-CN"/>
        </w:rPr>
        <w:t xml:space="preserve"> </w:t>
      </w:r>
      <w:r>
        <w:rPr>
          <w:rFonts w:ascii="Times New Roman" w:hAnsi="Times New Roman"/>
          <w:b w:val="0"/>
          <w:lang w:eastAsia="ja-JP"/>
        </w:rPr>
        <w:t xml:space="preserve">Simulation assumptions for link-level </w:t>
      </w:r>
      <w:r>
        <w:rPr>
          <w:rFonts w:hint="eastAsia" w:ascii="Times New Roman" w:hAnsi="Times New Roman"/>
          <w:b w:val="0"/>
          <w:lang w:eastAsia="zh-CN"/>
        </w:rPr>
        <w:t>simulation</w:t>
      </w:r>
    </w:p>
    <w:tbl>
      <w:tblPr>
        <w:tblStyle w:val="25"/>
        <w:tblW w:w="9574" w:type="dxa"/>
        <w:jc w:val="center"/>
        <w:tblLayout w:type="fixed"/>
        <w:tblCellMar>
          <w:top w:w="0" w:type="dxa"/>
          <w:left w:w="0" w:type="dxa"/>
          <w:bottom w:w="0" w:type="dxa"/>
          <w:right w:w="0" w:type="dxa"/>
        </w:tblCellMar>
      </w:tblPr>
      <w:tblGrid>
        <w:gridCol w:w="1864"/>
        <w:gridCol w:w="7710"/>
      </w:tblGrid>
      <w:tr>
        <w:tblPrEx>
          <w:tblCellMar>
            <w:top w:w="0" w:type="dxa"/>
            <w:left w:w="0" w:type="dxa"/>
            <w:bottom w:w="0" w:type="dxa"/>
            <w:right w:w="0" w:type="dxa"/>
          </w:tblCellMar>
        </w:tblPrEx>
        <w:trPr>
          <w:trHeight w:val="226" w:hRule="atLeast"/>
          <w:jc w:val="center"/>
        </w:trPr>
        <w:tc>
          <w:tcPr>
            <w:tcW w:w="1864"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7" w:type="dxa"/>
              <w:bottom w:w="0" w:type="dxa"/>
              <w:right w:w="107" w:type="dxa"/>
            </w:tcMar>
          </w:tcPr>
          <w:p>
            <w:pPr>
              <w:spacing w:after="120" w:line="240" w:lineRule="auto"/>
              <w:rPr>
                <w:sz w:val="18"/>
                <w:szCs w:val="18"/>
                <w:lang w:eastAsia="ja-JP"/>
              </w:rPr>
            </w:pPr>
            <w:r>
              <w:rPr>
                <w:b/>
                <w:bCs/>
                <w:sz w:val="18"/>
                <w:szCs w:val="18"/>
                <w:lang w:eastAsia="ja-JP"/>
              </w:rPr>
              <w:t>Attributes</w:t>
            </w:r>
          </w:p>
        </w:tc>
        <w:tc>
          <w:tcPr>
            <w:tcW w:w="7710"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7" w:type="dxa"/>
              <w:bottom w:w="0" w:type="dxa"/>
              <w:right w:w="107" w:type="dxa"/>
            </w:tcMar>
          </w:tcPr>
          <w:p>
            <w:pPr>
              <w:spacing w:after="120" w:line="240" w:lineRule="auto"/>
              <w:rPr>
                <w:b/>
                <w:sz w:val="18"/>
                <w:szCs w:val="18"/>
                <w:lang w:eastAsia="ja-JP"/>
              </w:rPr>
            </w:pPr>
            <w:r>
              <w:rPr>
                <w:b/>
                <w:bCs/>
                <w:sz w:val="18"/>
                <w:szCs w:val="18"/>
                <w:lang w:eastAsia="ja-JP"/>
              </w:rPr>
              <w:t>Values or assumptions</w:t>
            </w:r>
          </w:p>
        </w:tc>
      </w:tr>
      <w:tr>
        <w:tblPrEx>
          <w:tblCellMar>
            <w:top w:w="0" w:type="dxa"/>
            <w:left w:w="0" w:type="dxa"/>
            <w:bottom w:w="0" w:type="dxa"/>
            <w:right w:w="0" w:type="dxa"/>
          </w:tblCellMar>
        </w:tblPrEx>
        <w:trPr>
          <w:trHeight w:val="226" w:hRule="atLeast"/>
          <w:jc w:val="center"/>
        </w:trPr>
        <w:tc>
          <w:tcPr>
            <w:tcW w:w="1864" w:type="dxa"/>
            <w:tcBorders>
              <w:top w:val="single" w:color="000000" w:sz="8" w:space="0"/>
              <w:left w:val="single" w:color="000000" w:sz="8" w:space="0"/>
              <w:bottom w:val="single" w:color="000000" w:sz="8" w:space="0"/>
              <w:right w:val="single" w:color="000000" w:sz="8" w:space="0"/>
            </w:tcBorders>
            <w:shd w:val="clear" w:color="auto" w:fill="auto"/>
            <w:tcMar>
              <w:top w:w="15" w:type="dxa"/>
              <w:left w:w="107" w:type="dxa"/>
              <w:bottom w:w="0" w:type="dxa"/>
              <w:right w:w="107" w:type="dxa"/>
            </w:tcMar>
          </w:tcPr>
          <w:p>
            <w:pPr>
              <w:spacing w:after="120" w:line="240" w:lineRule="auto"/>
              <w:rPr>
                <w:b/>
                <w:sz w:val="18"/>
                <w:szCs w:val="18"/>
                <w:lang w:eastAsia="ja-JP"/>
              </w:rPr>
            </w:pPr>
            <w:r>
              <w:rPr>
                <w:b/>
                <w:sz w:val="18"/>
                <w:szCs w:val="18"/>
                <w:lang w:eastAsia="ja-JP"/>
              </w:rPr>
              <w:t>Carrier Frequency</w:t>
            </w:r>
          </w:p>
        </w:tc>
        <w:tc>
          <w:tcPr>
            <w:tcW w:w="7710" w:type="dxa"/>
            <w:tcBorders>
              <w:top w:val="single" w:color="000000" w:sz="8" w:space="0"/>
              <w:left w:val="single" w:color="000000" w:sz="8" w:space="0"/>
              <w:bottom w:val="single" w:color="000000" w:sz="8" w:space="0"/>
              <w:right w:val="single" w:color="000000" w:sz="8" w:space="0"/>
            </w:tcBorders>
            <w:shd w:val="clear" w:color="auto" w:fill="auto"/>
            <w:tcMar>
              <w:top w:w="15" w:type="dxa"/>
              <w:left w:w="107" w:type="dxa"/>
              <w:bottom w:w="0" w:type="dxa"/>
              <w:right w:w="107" w:type="dxa"/>
            </w:tcMar>
          </w:tcPr>
          <w:p>
            <w:pPr>
              <w:spacing w:after="120" w:line="240" w:lineRule="auto"/>
              <w:rPr>
                <w:sz w:val="18"/>
                <w:szCs w:val="18"/>
                <w:lang w:eastAsia="ja-JP"/>
              </w:rPr>
            </w:pPr>
            <w:r>
              <w:rPr>
                <w:sz w:val="18"/>
                <w:szCs w:val="18"/>
                <w:lang w:eastAsia="ja-JP"/>
              </w:rPr>
              <w:t>30 GHz</w:t>
            </w:r>
          </w:p>
        </w:tc>
      </w:tr>
      <w:tr>
        <w:tblPrEx>
          <w:tblCellMar>
            <w:top w:w="0" w:type="dxa"/>
            <w:left w:w="0" w:type="dxa"/>
            <w:bottom w:w="0" w:type="dxa"/>
            <w:right w:w="0" w:type="dxa"/>
          </w:tblCellMar>
        </w:tblPrEx>
        <w:trPr>
          <w:trHeight w:val="226" w:hRule="atLeast"/>
          <w:jc w:val="center"/>
        </w:trPr>
        <w:tc>
          <w:tcPr>
            <w:tcW w:w="1864" w:type="dxa"/>
            <w:tcBorders>
              <w:top w:val="single" w:color="000000" w:sz="8" w:space="0"/>
              <w:left w:val="single" w:color="000000" w:sz="8" w:space="0"/>
              <w:bottom w:val="single" w:color="000000" w:sz="8" w:space="0"/>
              <w:right w:val="single" w:color="000000" w:sz="8" w:space="0"/>
            </w:tcBorders>
            <w:shd w:val="clear" w:color="auto" w:fill="auto"/>
            <w:tcMar>
              <w:top w:w="15" w:type="dxa"/>
              <w:left w:w="107" w:type="dxa"/>
              <w:bottom w:w="0" w:type="dxa"/>
              <w:right w:w="107" w:type="dxa"/>
            </w:tcMar>
          </w:tcPr>
          <w:p>
            <w:pPr>
              <w:spacing w:after="120" w:line="240" w:lineRule="auto"/>
              <w:rPr>
                <w:b/>
                <w:sz w:val="18"/>
                <w:szCs w:val="18"/>
              </w:rPr>
            </w:pPr>
            <w:r>
              <w:rPr>
                <w:b/>
                <w:sz w:val="18"/>
                <w:szCs w:val="18"/>
              </w:rPr>
              <w:t>Subcarrier Spacing</w:t>
            </w:r>
          </w:p>
        </w:tc>
        <w:tc>
          <w:tcPr>
            <w:tcW w:w="7710" w:type="dxa"/>
            <w:tcBorders>
              <w:top w:val="single" w:color="000000" w:sz="8" w:space="0"/>
              <w:left w:val="single" w:color="000000" w:sz="8" w:space="0"/>
              <w:bottom w:val="single" w:color="000000" w:sz="8" w:space="0"/>
              <w:right w:val="single" w:color="000000" w:sz="8" w:space="0"/>
            </w:tcBorders>
            <w:shd w:val="clear" w:color="auto" w:fill="auto"/>
            <w:tcMar>
              <w:top w:w="15" w:type="dxa"/>
              <w:left w:w="107" w:type="dxa"/>
              <w:bottom w:w="0" w:type="dxa"/>
              <w:right w:w="107" w:type="dxa"/>
            </w:tcMar>
          </w:tcPr>
          <w:p>
            <w:pPr>
              <w:spacing w:after="120" w:line="240" w:lineRule="auto"/>
              <w:rPr>
                <w:sz w:val="18"/>
                <w:szCs w:val="18"/>
                <w:lang w:eastAsia="ja-JP"/>
              </w:rPr>
            </w:pPr>
            <w:r>
              <w:rPr>
                <w:sz w:val="18"/>
                <w:szCs w:val="18"/>
                <w:lang w:eastAsia="ja-JP"/>
              </w:rPr>
              <w:t>60</w:t>
            </w:r>
            <w:r>
              <w:rPr>
                <w:rFonts w:hint="eastAsia"/>
                <w:sz w:val="18"/>
                <w:szCs w:val="18"/>
              </w:rPr>
              <w:t xml:space="preserve"> </w:t>
            </w:r>
            <w:r>
              <w:rPr>
                <w:sz w:val="18"/>
                <w:szCs w:val="18"/>
              </w:rPr>
              <w:t>k</w:t>
            </w:r>
            <w:r>
              <w:rPr>
                <w:sz w:val="18"/>
                <w:szCs w:val="18"/>
                <w:lang w:eastAsia="ja-JP"/>
              </w:rPr>
              <w:t>Hz</w:t>
            </w:r>
          </w:p>
        </w:tc>
      </w:tr>
      <w:tr>
        <w:tblPrEx>
          <w:tblCellMar>
            <w:top w:w="0" w:type="dxa"/>
            <w:left w:w="0" w:type="dxa"/>
            <w:bottom w:w="0" w:type="dxa"/>
            <w:right w:w="0" w:type="dxa"/>
          </w:tblCellMar>
        </w:tblPrEx>
        <w:trPr>
          <w:trHeight w:val="226" w:hRule="atLeast"/>
          <w:jc w:val="center"/>
        </w:trPr>
        <w:tc>
          <w:tcPr>
            <w:tcW w:w="1864" w:type="dxa"/>
            <w:tcBorders>
              <w:top w:val="single" w:color="000000" w:sz="8" w:space="0"/>
              <w:left w:val="single" w:color="000000" w:sz="8" w:space="0"/>
              <w:bottom w:val="single" w:color="000000" w:sz="8" w:space="0"/>
              <w:right w:val="single" w:color="000000" w:sz="8" w:space="0"/>
            </w:tcBorders>
            <w:shd w:val="clear" w:color="auto" w:fill="auto"/>
            <w:tcMar>
              <w:top w:w="15" w:type="dxa"/>
              <w:left w:w="107" w:type="dxa"/>
              <w:bottom w:w="0" w:type="dxa"/>
              <w:right w:w="107" w:type="dxa"/>
            </w:tcMar>
          </w:tcPr>
          <w:p>
            <w:pPr>
              <w:spacing w:after="120" w:line="240" w:lineRule="auto"/>
              <w:rPr>
                <w:b/>
                <w:sz w:val="18"/>
                <w:szCs w:val="18"/>
              </w:rPr>
            </w:pPr>
            <w:r>
              <w:rPr>
                <w:b/>
                <w:sz w:val="18"/>
                <w:szCs w:val="18"/>
              </w:rPr>
              <w:t>Transmission SNR</w:t>
            </w:r>
          </w:p>
        </w:tc>
        <w:tc>
          <w:tcPr>
            <w:tcW w:w="7710" w:type="dxa"/>
            <w:tcBorders>
              <w:top w:val="single" w:color="000000" w:sz="8" w:space="0"/>
              <w:left w:val="single" w:color="000000" w:sz="8" w:space="0"/>
              <w:bottom w:val="single" w:color="000000" w:sz="8" w:space="0"/>
              <w:right w:val="single" w:color="000000" w:sz="8" w:space="0"/>
            </w:tcBorders>
            <w:shd w:val="clear" w:color="auto" w:fill="auto"/>
            <w:tcMar>
              <w:top w:w="15" w:type="dxa"/>
              <w:left w:w="107" w:type="dxa"/>
              <w:bottom w:w="0" w:type="dxa"/>
              <w:right w:w="107" w:type="dxa"/>
            </w:tcMar>
          </w:tcPr>
          <w:p>
            <w:pPr>
              <w:spacing w:after="120" w:line="240" w:lineRule="auto"/>
              <w:rPr>
                <w:sz w:val="18"/>
                <w:szCs w:val="18"/>
              </w:rPr>
            </w:pPr>
            <w:r>
              <w:rPr>
                <w:sz w:val="18"/>
                <w:szCs w:val="18"/>
              </w:rPr>
              <w:t>10 dB</w:t>
            </w:r>
          </w:p>
        </w:tc>
      </w:tr>
      <w:tr>
        <w:tblPrEx>
          <w:tblCellMar>
            <w:top w:w="0" w:type="dxa"/>
            <w:left w:w="0" w:type="dxa"/>
            <w:bottom w:w="0" w:type="dxa"/>
            <w:right w:w="0" w:type="dxa"/>
          </w:tblCellMar>
        </w:tblPrEx>
        <w:trPr>
          <w:trHeight w:val="226" w:hRule="atLeast"/>
          <w:jc w:val="center"/>
        </w:trPr>
        <w:tc>
          <w:tcPr>
            <w:tcW w:w="1864" w:type="dxa"/>
            <w:tcBorders>
              <w:top w:val="single" w:color="000000" w:sz="8" w:space="0"/>
              <w:left w:val="single" w:color="000000" w:sz="8" w:space="0"/>
              <w:bottom w:val="single" w:color="000000" w:sz="8" w:space="0"/>
              <w:right w:val="single" w:color="000000" w:sz="8" w:space="0"/>
            </w:tcBorders>
            <w:shd w:val="clear" w:color="auto" w:fill="auto"/>
            <w:tcMar>
              <w:top w:w="15" w:type="dxa"/>
              <w:left w:w="107" w:type="dxa"/>
              <w:bottom w:w="0" w:type="dxa"/>
              <w:right w:w="107" w:type="dxa"/>
            </w:tcMar>
          </w:tcPr>
          <w:p>
            <w:pPr>
              <w:spacing w:after="120" w:line="240" w:lineRule="auto"/>
              <w:rPr>
                <w:b/>
                <w:sz w:val="18"/>
                <w:szCs w:val="18"/>
                <w:lang w:eastAsia="ja-JP"/>
              </w:rPr>
            </w:pPr>
            <w:r>
              <w:rPr>
                <w:b/>
                <w:sz w:val="18"/>
                <w:szCs w:val="18"/>
                <w:lang w:eastAsia="ja-JP"/>
              </w:rPr>
              <w:t>Channel Model</w:t>
            </w:r>
          </w:p>
        </w:tc>
        <w:tc>
          <w:tcPr>
            <w:tcW w:w="7710" w:type="dxa"/>
            <w:tcBorders>
              <w:top w:val="single" w:color="000000" w:sz="8" w:space="0"/>
              <w:left w:val="single" w:color="000000" w:sz="8" w:space="0"/>
              <w:bottom w:val="single" w:color="auto" w:sz="4" w:space="0"/>
              <w:right w:val="single" w:color="000000" w:sz="8" w:space="0"/>
            </w:tcBorders>
            <w:shd w:val="clear" w:color="auto" w:fill="auto"/>
            <w:tcMar>
              <w:top w:w="15" w:type="dxa"/>
              <w:left w:w="107" w:type="dxa"/>
              <w:bottom w:w="0" w:type="dxa"/>
              <w:right w:w="107" w:type="dxa"/>
            </w:tcMar>
          </w:tcPr>
          <w:p>
            <w:pPr>
              <w:spacing w:after="120" w:line="240" w:lineRule="auto"/>
              <w:rPr>
                <w:sz w:val="18"/>
                <w:szCs w:val="18"/>
              </w:rPr>
            </w:pPr>
            <w:r>
              <w:rPr>
                <w:sz w:val="18"/>
                <w:szCs w:val="18"/>
                <w:lang w:eastAsia="ja-JP"/>
              </w:rPr>
              <w:t xml:space="preserve">CDL-A </w:t>
            </w:r>
            <w:r>
              <w:rPr>
                <w:sz w:val="18"/>
                <w:szCs w:val="18"/>
              </w:rPr>
              <w:t>model</w:t>
            </w:r>
          </w:p>
          <w:p>
            <w:pPr>
              <w:numPr>
                <w:ilvl w:val="0"/>
                <w:numId w:val="20"/>
              </w:numPr>
              <w:spacing w:after="120" w:afterLines="0" w:line="240" w:lineRule="auto"/>
              <w:rPr>
                <w:sz w:val="18"/>
                <w:szCs w:val="18"/>
                <w:lang w:eastAsia="ja-JP"/>
              </w:rPr>
            </w:pPr>
            <w:r>
              <w:rPr>
                <w:sz w:val="18"/>
                <w:szCs w:val="18"/>
                <w:lang w:eastAsia="ja-JP"/>
              </w:rPr>
              <w:t>delay spread =100ns</w:t>
            </w:r>
          </w:p>
          <w:p>
            <w:pPr>
              <w:numPr>
                <w:ilvl w:val="0"/>
                <w:numId w:val="20"/>
              </w:numPr>
              <w:spacing w:after="120" w:afterLines="0" w:line="240" w:lineRule="auto"/>
              <w:rPr>
                <w:sz w:val="18"/>
                <w:szCs w:val="18"/>
                <w:lang w:eastAsia="ja-JP"/>
              </w:rPr>
            </w:pPr>
            <w:r>
              <w:rPr>
                <w:sz w:val="18"/>
                <w:szCs w:val="18"/>
                <w:lang w:eastAsia="ja-JP"/>
              </w:rPr>
              <w:t xml:space="preserve">UE speed=3km/h.  </w:t>
            </w:r>
          </w:p>
          <w:p>
            <w:pPr>
              <w:numPr>
                <w:ilvl w:val="0"/>
                <w:numId w:val="20"/>
              </w:numPr>
              <w:spacing w:after="120" w:afterLines="0" w:line="240" w:lineRule="auto"/>
              <w:rPr>
                <w:sz w:val="18"/>
                <w:szCs w:val="18"/>
                <w:lang w:eastAsia="ja-JP"/>
              </w:rPr>
            </w:pPr>
            <w:r>
              <w:rPr>
                <w:sz w:val="18"/>
                <w:szCs w:val="18"/>
                <w:lang w:eastAsia="ja-JP"/>
              </w:rPr>
              <w:t xml:space="preserve">The angle of BS, i.e., AoD, are uniformly distributed within [-60, 60] degrees in azimuth domain, and </w:t>
            </w:r>
            <w:r>
              <w:rPr>
                <w:sz w:val="18"/>
                <w:szCs w:val="18"/>
              </w:rPr>
              <w:t>that</w:t>
            </w:r>
            <w:r>
              <w:rPr>
                <w:sz w:val="18"/>
                <w:szCs w:val="18"/>
                <w:lang w:eastAsia="ja-JP"/>
              </w:rPr>
              <w:t xml:space="preserve"> of UE, i.e., AoA, are uniformly distributed within [-180, 180] degrees in azimuth domain, via applying uniform-distribution desired mean angle in Section 7.7.5.1 in TR 38.900 accordingly.</w:t>
            </w:r>
          </w:p>
        </w:tc>
      </w:tr>
      <w:tr>
        <w:tblPrEx>
          <w:tblCellMar>
            <w:top w:w="0" w:type="dxa"/>
            <w:left w:w="0" w:type="dxa"/>
            <w:bottom w:w="0" w:type="dxa"/>
            <w:right w:w="0" w:type="dxa"/>
          </w:tblCellMar>
        </w:tblPrEx>
        <w:trPr>
          <w:trHeight w:val="226" w:hRule="atLeast"/>
          <w:jc w:val="center"/>
        </w:trPr>
        <w:tc>
          <w:tcPr>
            <w:tcW w:w="1864" w:type="dxa"/>
            <w:tcBorders>
              <w:top w:val="single" w:color="000000" w:sz="8" w:space="0"/>
              <w:left w:val="single" w:color="000000" w:sz="8" w:space="0"/>
              <w:bottom w:val="single" w:color="000000" w:sz="8" w:space="0"/>
              <w:right w:val="single" w:color="auto" w:sz="4" w:space="0"/>
            </w:tcBorders>
            <w:shd w:val="clear" w:color="auto" w:fill="auto"/>
            <w:tcMar>
              <w:top w:w="15" w:type="dxa"/>
              <w:left w:w="107" w:type="dxa"/>
              <w:bottom w:w="0" w:type="dxa"/>
              <w:right w:w="107" w:type="dxa"/>
            </w:tcMar>
          </w:tcPr>
          <w:p>
            <w:pPr>
              <w:spacing w:after="120" w:line="240" w:lineRule="auto"/>
              <w:rPr>
                <w:b/>
                <w:sz w:val="18"/>
                <w:szCs w:val="18"/>
                <w:lang w:eastAsia="ja-JP"/>
              </w:rPr>
            </w:pPr>
            <w:r>
              <w:rPr>
                <w:b/>
                <w:sz w:val="18"/>
                <w:szCs w:val="18"/>
                <w:lang w:eastAsia="ja-JP"/>
              </w:rPr>
              <w:t>TXRU mapping to antenna elements</w:t>
            </w:r>
          </w:p>
        </w:tc>
        <w:tc>
          <w:tcPr>
            <w:tcW w:w="7710" w:type="dxa"/>
            <w:tcBorders>
              <w:top w:val="single" w:color="auto" w:sz="4" w:space="0"/>
              <w:left w:val="single" w:color="auto" w:sz="4" w:space="0"/>
              <w:bottom w:val="single" w:color="auto" w:sz="4" w:space="0"/>
              <w:right w:val="single" w:color="auto" w:sz="4" w:space="0"/>
            </w:tcBorders>
            <w:shd w:val="clear" w:color="auto" w:fill="auto"/>
          </w:tcPr>
          <w:p>
            <w:pPr>
              <w:spacing w:after="120" w:line="240" w:lineRule="auto"/>
              <w:rPr>
                <w:sz w:val="18"/>
                <w:szCs w:val="18"/>
                <w:lang w:eastAsia="ja-JP"/>
              </w:rPr>
            </w:pPr>
            <w:r>
              <w:rPr>
                <w:sz w:val="18"/>
                <w:szCs w:val="18"/>
              </w:rPr>
              <w:t xml:space="preserve">One </w:t>
            </w:r>
            <w:r>
              <w:rPr>
                <w:sz w:val="18"/>
                <w:szCs w:val="18"/>
                <w:lang w:eastAsia="ja-JP"/>
              </w:rPr>
              <w:t>TXRU per panel per polarization</w:t>
            </w:r>
          </w:p>
        </w:tc>
      </w:tr>
      <w:tr>
        <w:tblPrEx>
          <w:tblCellMar>
            <w:top w:w="0" w:type="dxa"/>
            <w:left w:w="0" w:type="dxa"/>
            <w:bottom w:w="0" w:type="dxa"/>
            <w:right w:w="0" w:type="dxa"/>
          </w:tblCellMar>
        </w:tblPrEx>
        <w:trPr>
          <w:trHeight w:val="226" w:hRule="atLeast"/>
          <w:jc w:val="center"/>
        </w:trPr>
        <w:tc>
          <w:tcPr>
            <w:tcW w:w="1864" w:type="dxa"/>
            <w:tcBorders>
              <w:top w:val="single" w:color="000000" w:sz="8" w:space="0"/>
              <w:left w:val="single" w:color="000000" w:sz="8" w:space="0"/>
              <w:bottom w:val="single" w:color="000000" w:sz="8" w:space="0"/>
              <w:right w:val="single" w:color="auto" w:sz="4" w:space="0"/>
            </w:tcBorders>
            <w:shd w:val="clear" w:color="auto" w:fill="auto"/>
            <w:tcMar>
              <w:top w:w="15" w:type="dxa"/>
              <w:left w:w="107" w:type="dxa"/>
              <w:bottom w:w="0" w:type="dxa"/>
              <w:right w:w="107" w:type="dxa"/>
            </w:tcMar>
          </w:tcPr>
          <w:p>
            <w:pPr>
              <w:spacing w:after="120" w:line="240" w:lineRule="auto"/>
              <w:rPr>
                <w:b/>
                <w:sz w:val="18"/>
                <w:szCs w:val="18"/>
                <w:lang w:eastAsia="ja-JP"/>
              </w:rPr>
            </w:pPr>
            <w:r>
              <w:rPr>
                <w:b/>
                <w:sz w:val="18"/>
                <w:szCs w:val="18"/>
                <w:lang w:eastAsia="ja-JP"/>
              </w:rPr>
              <w:t>TXRU mapping weights</w:t>
            </w:r>
          </w:p>
        </w:tc>
        <w:tc>
          <w:tcPr>
            <w:tcW w:w="7710" w:type="dxa"/>
            <w:tcBorders>
              <w:top w:val="single" w:color="auto" w:sz="4" w:space="0"/>
              <w:left w:val="single" w:color="auto" w:sz="4" w:space="0"/>
              <w:bottom w:val="single" w:color="auto" w:sz="4" w:space="0"/>
              <w:right w:val="single" w:color="auto" w:sz="4" w:space="0"/>
            </w:tcBorders>
            <w:shd w:val="clear" w:color="auto" w:fill="auto"/>
          </w:tcPr>
          <w:p>
            <w:pPr>
              <w:spacing w:after="120" w:line="240" w:lineRule="auto"/>
              <w:rPr>
                <w:sz w:val="18"/>
                <w:szCs w:val="18"/>
                <w:lang w:eastAsia="ja-JP"/>
              </w:rPr>
            </w:pPr>
            <w:r>
              <w:rPr>
                <w:sz w:val="18"/>
                <w:szCs w:val="18"/>
                <w:lang w:eastAsia="ja-JP"/>
              </w:rPr>
              <w:t>2D TXRU virtualization weights for each panel is the Kronecker product between vertical and horizontal weight vectors taken from DFT, i.e., 2D sub-array partition model defined in TR36.897.</w:t>
            </w:r>
          </w:p>
        </w:tc>
      </w:tr>
      <w:tr>
        <w:tblPrEx>
          <w:tblCellMar>
            <w:top w:w="0" w:type="dxa"/>
            <w:left w:w="0" w:type="dxa"/>
            <w:bottom w:w="0" w:type="dxa"/>
            <w:right w:w="0" w:type="dxa"/>
          </w:tblCellMar>
        </w:tblPrEx>
        <w:trPr>
          <w:trHeight w:val="226" w:hRule="atLeast"/>
          <w:jc w:val="center"/>
        </w:trPr>
        <w:tc>
          <w:tcPr>
            <w:tcW w:w="1864" w:type="dxa"/>
            <w:tcBorders>
              <w:top w:val="single" w:color="000000" w:sz="8" w:space="0"/>
              <w:left w:val="single" w:color="000000" w:sz="8" w:space="0"/>
              <w:bottom w:val="single" w:color="000000" w:sz="8" w:space="0"/>
              <w:right w:val="single" w:color="auto" w:sz="4" w:space="0"/>
            </w:tcBorders>
            <w:shd w:val="clear" w:color="auto" w:fill="auto"/>
            <w:tcMar>
              <w:top w:w="15" w:type="dxa"/>
              <w:left w:w="107" w:type="dxa"/>
              <w:bottom w:w="0" w:type="dxa"/>
              <w:right w:w="107" w:type="dxa"/>
            </w:tcMar>
          </w:tcPr>
          <w:p>
            <w:pPr>
              <w:spacing w:after="120" w:line="240" w:lineRule="auto"/>
              <w:rPr>
                <w:b/>
                <w:sz w:val="18"/>
                <w:szCs w:val="18"/>
                <w:lang w:eastAsia="ja-JP"/>
              </w:rPr>
            </w:pPr>
            <w:r>
              <w:rPr>
                <w:b/>
                <w:sz w:val="18"/>
                <w:szCs w:val="18"/>
                <w:lang w:eastAsia="ja-JP"/>
              </w:rPr>
              <w:t>BS antenna configurations</w:t>
            </w:r>
          </w:p>
        </w:tc>
        <w:tc>
          <w:tcPr>
            <w:tcW w:w="7710" w:type="dxa"/>
            <w:tcBorders>
              <w:top w:val="single" w:color="auto" w:sz="4" w:space="0"/>
              <w:left w:val="single" w:color="auto" w:sz="4" w:space="0"/>
              <w:bottom w:val="single" w:color="auto" w:sz="4" w:space="0"/>
              <w:right w:val="single" w:color="auto" w:sz="4" w:space="0"/>
            </w:tcBorders>
            <w:shd w:val="clear" w:color="auto" w:fill="auto"/>
          </w:tcPr>
          <w:p>
            <w:pPr>
              <w:spacing w:after="120" w:line="240" w:lineRule="auto"/>
              <w:rPr>
                <w:sz w:val="18"/>
                <w:szCs w:val="18"/>
                <w:lang w:eastAsia="ja-JP"/>
              </w:rPr>
            </w:pPr>
            <w:r>
              <w:rPr>
                <w:rFonts w:eastAsia="Malgun Gothic"/>
                <w:kern w:val="24"/>
                <w:lang w:val="sv-SE"/>
              </w:rPr>
              <w:t>(M,N,P,Mg,Ng) = (4,8,2,2,2). (d</w:t>
            </w:r>
            <w:r>
              <w:rPr>
                <w:rFonts w:eastAsia="Malgun Gothic"/>
                <w:kern w:val="24"/>
                <w:position w:val="-6"/>
                <w:vertAlign w:val="subscript"/>
                <w:lang w:val="sv-SE"/>
              </w:rPr>
              <w:t>V</w:t>
            </w:r>
            <w:r>
              <w:rPr>
                <w:rFonts w:eastAsia="Malgun Gothic"/>
                <w:kern w:val="24"/>
                <w:lang w:val="sv-SE"/>
              </w:rPr>
              <w:t>,d</w:t>
            </w:r>
            <w:r>
              <w:rPr>
                <w:rFonts w:eastAsia="Malgun Gothic"/>
                <w:kern w:val="24"/>
                <w:position w:val="-6"/>
                <w:vertAlign w:val="subscript"/>
                <w:lang w:val="sv-SE"/>
              </w:rPr>
              <w:t>H</w:t>
            </w:r>
            <w:r>
              <w:rPr>
                <w:rFonts w:eastAsia="Malgun Gothic"/>
                <w:kern w:val="24"/>
                <w:lang w:val="sv-SE"/>
              </w:rPr>
              <w:t>) = (0.5, 0.5)</w:t>
            </w:r>
            <w:r>
              <w:rPr>
                <w:rFonts w:eastAsia="Malgun Gothic"/>
                <w:kern w:val="24"/>
              </w:rPr>
              <w:t>λ</w:t>
            </w:r>
            <w:r>
              <w:rPr>
                <w:rFonts w:eastAsia="Malgun Gothic"/>
                <w:kern w:val="24"/>
                <w:lang w:val="sv-SE"/>
              </w:rPr>
              <w:t>. (d</w:t>
            </w:r>
            <w:r>
              <w:rPr>
                <w:rFonts w:eastAsia="Malgun Gothic"/>
                <w:kern w:val="24"/>
                <w:position w:val="-6"/>
                <w:vertAlign w:val="subscript"/>
                <w:lang w:val="sv-SE"/>
              </w:rPr>
              <w:t>g,V</w:t>
            </w:r>
            <w:r>
              <w:rPr>
                <w:rFonts w:eastAsia="Malgun Gothic"/>
                <w:kern w:val="24"/>
                <w:lang w:val="sv-SE"/>
              </w:rPr>
              <w:t>,d</w:t>
            </w:r>
            <w:r>
              <w:rPr>
                <w:rFonts w:eastAsia="Malgun Gothic"/>
                <w:kern w:val="24"/>
                <w:position w:val="-6"/>
                <w:vertAlign w:val="subscript"/>
                <w:lang w:val="sv-SE"/>
              </w:rPr>
              <w:t>g,H</w:t>
            </w:r>
            <w:r>
              <w:rPr>
                <w:rFonts w:eastAsia="Malgun Gothic"/>
                <w:kern w:val="24"/>
                <w:lang w:val="sv-SE"/>
              </w:rPr>
              <w:t>) = (2.0, 4.0)</w:t>
            </w:r>
            <w:r>
              <w:rPr>
                <w:rFonts w:eastAsia="Malgun Gothic"/>
                <w:kern w:val="24"/>
              </w:rPr>
              <w:t>λ</w:t>
            </w:r>
          </w:p>
        </w:tc>
      </w:tr>
      <w:tr>
        <w:tblPrEx>
          <w:tblCellMar>
            <w:top w:w="0" w:type="dxa"/>
            <w:left w:w="0" w:type="dxa"/>
            <w:bottom w:w="0" w:type="dxa"/>
            <w:right w:w="0" w:type="dxa"/>
          </w:tblCellMar>
        </w:tblPrEx>
        <w:trPr>
          <w:trHeight w:val="226" w:hRule="atLeast"/>
          <w:jc w:val="center"/>
        </w:trPr>
        <w:tc>
          <w:tcPr>
            <w:tcW w:w="1864" w:type="dxa"/>
            <w:tcBorders>
              <w:top w:val="single" w:color="000000" w:sz="8" w:space="0"/>
              <w:left w:val="single" w:color="000000" w:sz="8" w:space="0"/>
              <w:bottom w:val="single" w:color="000000" w:sz="8" w:space="0"/>
              <w:right w:val="single" w:color="auto" w:sz="4" w:space="0"/>
            </w:tcBorders>
            <w:shd w:val="clear" w:color="auto" w:fill="auto"/>
            <w:tcMar>
              <w:top w:w="15" w:type="dxa"/>
              <w:left w:w="107" w:type="dxa"/>
              <w:bottom w:w="0" w:type="dxa"/>
              <w:right w:w="107" w:type="dxa"/>
            </w:tcMar>
          </w:tcPr>
          <w:p>
            <w:pPr>
              <w:spacing w:after="120" w:line="240" w:lineRule="auto"/>
              <w:rPr>
                <w:b/>
                <w:sz w:val="18"/>
                <w:szCs w:val="18"/>
                <w:lang w:eastAsia="ja-JP"/>
              </w:rPr>
            </w:pPr>
            <w:r>
              <w:rPr>
                <w:b/>
                <w:sz w:val="18"/>
                <w:szCs w:val="18"/>
                <w:lang w:eastAsia="ja-JP"/>
              </w:rPr>
              <w:t>BS antenna element radiation pattern</w:t>
            </w:r>
          </w:p>
        </w:tc>
        <w:tc>
          <w:tcPr>
            <w:tcW w:w="7710" w:type="dxa"/>
            <w:tcBorders>
              <w:top w:val="single" w:color="auto" w:sz="4" w:space="0"/>
              <w:left w:val="single" w:color="auto" w:sz="4" w:space="0"/>
              <w:bottom w:val="single" w:color="auto" w:sz="4" w:space="0"/>
              <w:right w:val="single" w:color="auto" w:sz="4" w:space="0"/>
            </w:tcBorders>
            <w:shd w:val="clear" w:color="auto" w:fill="auto"/>
          </w:tcPr>
          <w:p>
            <w:pPr>
              <w:spacing w:after="120" w:line="240" w:lineRule="auto"/>
              <w:rPr>
                <w:kern w:val="24"/>
                <w:lang w:val="sv-SE"/>
              </w:rPr>
            </w:pPr>
            <w:r>
              <w:rPr>
                <w:rFonts w:eastAsia="Arial Unicode MS"/>
                <w:kern w:val="2"/>
                <w:sz w:val="18"/>
                <w:szCs w:val="18"/>
              </w:rPr>
              <w:t>See Table A.2.1-6 in TR 38.802</w:t>
            </w:r>
          </w:p>
        </w:tc>
      </w:tr>
      <w:tr>
        <w:tblPrEx>
          <w:tblCellMar>
            <w:top w:w="0" w:type="dxa"/>
            <w:left w:w="0" w:type="dxa"/>
            <w:bottom w:w="0" w:type="dxa"/>
            <w:right w:w="0" w:type="dxa"/>
          </w:tblCellMar>
        </w:tblPrEx>
        <w:trPr>
          <w:trHeight w:val="226" w:hRule="atLeast"/>
          <w:jc w:val="center"/>
        </w:trPr>
        <w:tc>
          <w:tcPr>
            <w:tcW w:w="1864" w:type="dxa"/>
            <w:tcBorders>
              <w:top w:val="single" w:color="000000" w:sz="8" w:space="0"/>
              <w:left w:val="single" w:color="000000" w:sz="8" w:space="0"/>
              <w:bottom w:val="single" w:color="000000" w:sz="8" w:space="0"/>
              <w:right w:val="single" w:color="auto" w:sz="4" w:space="0"/>
            </w:tcBorders>
            <w:shd w:val="clear" w:color="auto" w:fill="auto"/>
            <w:tcMar>
              <w:top w:w="15" w:type="dxa"/>
              <w:left w:w="107" w:type="dxa"/>
              <w:bottom w:w="0" w:type="dxa"/>
              <w:right w:w="107" w:type="dxa"/>
            </w:tcMar>
          </w:tcPr>
          <w:p>
            <w:pPr>
              <w:spacing w:after="120" w:line="240" w:lineRule="auto"/>
              <w:rPr>
                <w:b/>
                <w:sz w:val="18"/>
                <w:szCs w:val="18"/>
                <w:lang w:eastAsia="ja-JP"/>
              </w:rPr>
            </w:pPr>
            <w:r>
              <w:rPr>
                <w:b/>
                <w:sz w:val="18"/>
                <w:szCs w:val="18"/>
                <w:lang w:eastAsia="ja-JP"/>
              </w:rPr>
              <w:t>UE antenna configurations</w:t>
            </w:r>
          </w:p>
        </w:tc>
        <w:tc>
          <w:tcPr>
            <w:tcW w:w="7710" w:type="dxa"/>
            <w:tcBorders>
              <w:top w:val="single" w:color="auto" w:sz="4" w:space="0"/>
              <w:left w:val="single" w:color="auto" w:sz="4" w:space="0"/>
              <w:bottom w:val="single" w:color="auto" w:sz="4" w:space="0"/>
              <w:right w:val="single" w:color="auto" w:sz="4" w:space="0"/>
            </w:tcBorders>
            <w:shd w:val="clear" w:color="auto" w:fill="auto"/>
          </w:tcPr>
          <w:p>
            <w:pPr>
              <w:spacing w:after="120" w:line="240" w:lineRule="auto"/>
              <w:rPr>
                <w:kern w:val="24"/>
                <w:lang w:val="sv-SE"/>
              </w:rPr>
            </w:pPr>
            <w:r>
              <w:rPr>
                <w:rFonts w:eastAsia="Malgun Gothic"/>
                <w:kern w:val="24"/>
                <w:lang w:val="sv-SE"/>
              </w:rPr>
              <w:t>(</w:t>
            </w:r>
            <w:r>
              <w:rPr>
                <w:rFonts w:eastAsia="Malgun Gothic"/>
                <w:kern w:val="24"/>
                <w:lang w:val="pt-BR"/>
              </w:rPr>
              <w:t>M, N, P</w:t>
            </w:r>
            <w:r>
              <w:rPr>
                <w:kern w:val="24"/>
                <w:lang w:val="pt-BR"/>
              </w:rPr>
              <w:t>,</w:t>
            </w:r>
            <w:r>
              <w:rPr>
                <w:rFonts w:eastAsia="Malgun Gothic"/>
                <w:i/>
                <w:iCs/>
                <w:kern w:val="24"/>
                <w:lang w:val="sv-SE"/>
              </w:rPr>
              <w:t xml:space="preserve"> M</w:t>
            </w:r>
            <w:r>
              <w:rPr>
                <w:rFonts w:eastAsia="Malgun Gothic"/>
                <w:i/>
                <w:iCs/>
                <w:kern w:val="24"/>
                <w:position w:val="-6"/>
                <w:vertAlign w:val="subscript"/>
                <w:lang w:val="sv-SE"/>
              </w:rPr>
              <w:t>g</w:t>
            </w:r>
            <w:r>
              <w:rPr>
                <w:rFonts w:eastAsia="Malgun Gothic"/>
                <w:kern w:val="24"/>
                <w:lang w:val="sv-SE"/>
              </w:rPr>
              <w:t xml:space="preserve">, </w:t>
            </w:r>
            <w:r>
              <w:rPr>
                <w:rFonts w:eastAsia="Malgun Gothic"/>
                <w:i/>
                <w:iCs/>
                <w:kern w:val="24"/>
                <w:lang w:val="sv-SE"/>
              </w:rPr>
              <w:t>N</w:t>
            </w:r>
            <w:r>
              <w:rPr>
                <w:rFonts w:eastAsia="Malgun Gothic"/>
                <w:i/>
                <w:iCs/>
                <w:kern w:val="24"/>
                <w:position w:val="-6"/>
                <w:vertAlign w:val="subscript"/>
                <w:lang w:val="sv-SE"/>
              </w:rPr>
              <w:t>g</w:t>
            </w:r>
            <w:r>
              <w:rPr>
                <w:rFonts w:eastAsia="Malgun Gothic"/>
                <w:kern w:val="24"/>
                <w:lang w:val="sv-SE"/>
              </w:rPr>
              <w:t>) = (</w:t>
            </w:r>
            <w:r>
              <w:rPr>
                <w:kern w:val="24"/>
                <w:lang w:val="pt-BR"/>
              </w:rPr>
              <w:t>2</w:t>
            </w:r>
            <w:r>
              <w:rPr>
                <w:rFonts w:eastAsia="Malgun Gothic"/>
                <w:kern w:val="24"/>
                <w:lang w:val="pt-BR"/>
              </w:rPr>
              <w:t xml:space="preserve">, 4, </w:t>
            </w:r>
            <w:r>
              <w:rPr>
                <w:kern w:val="24"/>
                <w:lang w:val="pt-BR"/>
              </w:rPr>
              <w:t xml:space="preserve">2, </w:t>
            </w:r>
            <w:r>
              <w:rPr>
                <w:rFonts w:eastAsia="Malgun Gothic"/>
                <w:kern w:val="24"/>
                <w:lang w:val="sv-SE"/>
              </w:rPr>
              <w:t>1, 2); (d</w:t>
            </w:r>
            <w:r>
              <w:rPr>
                <w:rFonts w:eastAsia="Malgun Gothic"/>
                <w:kern w:val="24"/>
                <w:position w:val="-6"/>
                <w:vertAlign w:val="subscript"/>
                <w:lang w:val="sv-SE"/>
              </w:rPr>
              <w:t>V</w:t>
            </w:r>
            <w:r>
              <w:rPr>
                <w:rFonts w:eastAsia="Malgun Gothic"/>
                <w:kern w:val="24"/>
                <w:lang w:val="sv-SE"/>
              </w:rPr>
              <w:t>,d</w:t>
            </w:r>
            <w:r>
              <w:rPr>
                <w:rFonts w:eastAsia="Malgun Gothic"/>
                <w:kern w:val="24"/>
                <w:position w:val="-6"/>
                <w:vertAlign w:val="subscript"/>
                <w:lang w:val="sv-SE"/>
              </w:rPr>
              <w:t>H</w:t>
            </w:r>
            <w:r>
              <w:rPr>
                <w:rFonts w:eastAsia="Malgun Gothic"/>
                <w:kern w:val="24"/>
                <w:lang w:val="sv-SE"/>
              </w:rPr>
              <w:t>) = (0.5, 0.5)</w:t>
            </w:r>
            <w:r>
              <w:rPr>
                <w:rFonts w:eastAsia="Malgun Gothic"/>
                <w:kern w:val="24"/>
              </w:rPr>
              <w:t>λ</w:t>
            </w:r>
            <w:r>
              <w:rPr>
                <w:rFonts w:eastAsia="Malgun Gothic"/>
                <w:kern w:val="24"/>
                <w:lang w:val="sv-SE"/>
              </w:rPr>
              <w:t>. (d</w:t>
            </w:r>
            <w:r>
              <w:rPr>
                <w:rFonts w:eastAsia="Malgun Gothic"/>
                <w:kern w:val="24"/>
                <w:position w:val="-6"/>
                <w:vertAlign w:val="subscript"/>
                <w:lang w:val="sv-SE"/>
              </w:rPr>
              <w:t>g,V</w:t>
            </w:r>
            <w:r>
              <w:rPr>
                <w:rFonts w:eastAsia="Malgun Gothic"/>
                <w:kern w:val="24"/>
                <w:lang w:val="sv-SE"/>
              </w:rPr>
              <w:t>,d</w:t>
            </w:r>
            <w:r>
              <w:rPr>
                <w:rFonts w:eastAsia="Malgun Gothic"/>
                <w:kern w:val="24"/>
                <w:position w:val="-6"/>
                <w:vertAlign w:val="subscript"/>
                <w:lang w:val="sv-SE"/>
              </w:rPr>
              <w:t>g,H</w:t>
            </w:r>
            <w:r>
              <w:rPr>
                <w:rFonts w:eastAsia="Malgun Gothic"/>
                <w:kern w:val="24"/>
                <w:lang w:val="sv-SE"/>
              </w:rPr>
              <w:t>) = (0, 0)</w:t>
            </w:r>
            <w:r>
              <w:rPr>
                <w:rFonts w:eastAsia="Malgun Gothic"/>
                <w:kern w:val="24"/>
              </w:rPr>
              <w:t>λ</w:t>
            </w:r>
            <w:r>
              <w:rPr>
                <w:rFonts w:eastAsia="Malgun Gothic"/>
                <w:kern w:val="24"/>
                <w:lang w:val="sv-SE"/>
              </w:rPr>
              <w:t>.</w:t>
            </w:r>
            <w:r>
              <w:rPr>
                <w:sz w:val="18"/>
                <w:szCs w:val="18"/>
              </w:rPr>
              <w:t xml:space="preserve"> </w:t>
            </w:r>
            <w:r>
              <w:rPr>
                <w:sz w:val="18"/>
                <w:szCs w:val="18"/>
                <w:vertAlign w:val="superscript"/>
              </w:rPr>
              <w:t>2)</w:t>
            </w:r>
          </w:p>
          <w:p>
            <w:pPr>
              <w:spacing w:after="120" w:line="240" w:lineRule="auto"/>
              <w:rPr>
                <w:kern w:val="24"/>
              </w:rPr>
            </w:pPr>
            <w:r>
              <w:rPr>
                <w:rFonts w:eastAsia="Malgun Gothic"/>
                <w:kern w:val="24"/>
              </w:rPr>
              <w:t>Θ</w:t>
            </w:r>
            <w:r>
              <w:rPr>
                <w:rFonts w:eastAsia="Malgun Gothic"/>
                <w:kern w:val="24"/>
                <w:position w:val="-6"/>
                <w:vertAlign w:val="subscript"/>
              </w:rPr>
              <w:t>mg,ng</w:t>
            </w:r>
            <w:r>
              <w:rPr>
                <w:rFonts w:eastAsia="Malgun Gothic"/>
                <w:kern w:val="24"/>
              </w:rPr>
              <w:t>=90; Ω</w:t>
            </w:r>
            <w:r>
              <w:rPr>
                <w:rFonts w:eastAsia="Malgun Gothic"/>
                <w:kern w:val="24"/>
                <w:position w:val="-6"/>
                <w:vertAlign w:val="subscript"/>
              </w:rPr>
              <w:t>0,1</w:t>
            </w:r>
            <w:r>
              <w:rPr>
                <w:rFonts w:eastAsia="Malgun Gothic"/>
                <w:kern w:val="24"/>
              </w:rPr>
              <w:t>=Ω</w:t>
            </w:r>
            <w:r>
              <w:rPr>
                <w:rFonts w:eastAsia="Malgun Gothic"/>
                <w:kern w:val="24"/>
                <w:position w:val="-6"/>
                <w:vertAlign w:val="subscript"/>
              </w:rPr>
              <w:t>0,0</w:t>
            </w:r>
            <w:r>
              <w:rPr>
                <w:rFonts w:eastAsia="Malgun Gothic"/>
                <w:kern w:val="24"/>
              </w:rPr>
              <w:t>+180;</w:t>
            </w:r>
          </w:p>
        </w:tc>
      </w:tr>
      <w:tr>
        <w:tblPrEx>
          <w:tblCellMar>
            <w:top w:w="0" w:type="dxa"/>
            <w:left w:w="0" w:type="dxa"/>
            <w:bottom w:w="0" w:type="dxa"/>
            <w:right w:w="0" w:type="dxa"/>
          </w:tblCellMar>
        </w:tblPrEx>
        <w:trPr>
          <w:trHeight w:val="226" w:hRule="atLeast"/>
          <w:jc w:val="center"/>
        </w:trPr>
        <w:tc>
          <w:tcPr>
            <w:tcW w:w="1864" w:type="dxa"/>
            <w:tcBorders>
              <w:top w:val="single" w:color="000000" w:sz="8" w:space="0"/>
              <w:left w:val="single" w:color="000000" w:sz="8" w:space="0"/>
              <w:bottom w:val="single" w:color="000000" w:sz="8" w:space="0"/>
              <w:right w:val="single" w:color="auto" w:sz="4" w:space="0"/>
            </w:tcBorders>
            <w:shd w:val="clear" w:color="auto" w:fill="auto"/>
            <w:tcMar>
              <w:top w:w="15" w:type="dxa"/>
              <w:left w:w="107" w:type="dxa"/>
              <w:bottom w:w="0" w:type="dxa"/>
              <w:right w:w="107" w:type="dxa"/>
            </w:tcMar>
          </w:tcPr>
          <w:p>
            <w:pPr>
              <w:spacing w:after="120" w:line="240" w:lineRule="auto"/>
              <w:rPr>
                <w:b/>
                <w:sz w:val="18"/>
                <w:szCs w:val="18"/>
                <w:lang w:eastAsia="ja-JP"/>
              </w:rPr>
            </w:pPr>
            <w:r>
              <w:rPr>
                <w:b/>
                <w:sz w:val="18"/>
                <w:szCs w:val="18"/>
                <w:lang w:eastAsia="ja-JP"/>
              </w:rPr>
              <w:t>BS array orientation</w:t>
            </w:r>
          </w:p>
        </w:tc>
        <w:tc>
          <w:tcPr>
            <w:tcW w:w="7710" w:type="dxa"/>
            <w:tcBorders>
              <w:top w:val="single" w:color="auto" w:sz="4" w:space="0"/>
              <w:left w:val="single" w:color="auto" w:sz="4" w:space="0"/>
              <w:bottom w:val="single" w:color="auto" w:sz="4" w:space="0"/>
              <w:right w:val="single" w:color="auto" w:sz="4" w:space="0"/>
            </w:tcBorders>
            <w:shd w:val="clear" w:color="auto" w:fill="auto"/>
            <w:tcMar>
              <w:top w:w="15" w:type="dxa"/>
              <w:left w:w="107" w:type="dxa"/>
              <w:bottom w:w="0" w:type="dxa"/>
              <w:right w:w="107" w:type="dxa"/>
            </w:tcMar>
          </w:tcPr>
          <w:p>
            <w:pPr>
              <w:spacing w:after="120" w:line="240" w:lineRule="auto"/>
            </w:pPr>
            <w:r>
              <w:rPr>
                <w:rFonts w:eastAsia="Arial Unicode MS"/>
                <w:kern w:val="2"/>
                <w:sz w:val="18"/>
                <w:szCs w:val="18"/>
              </w:rPr>
              <w:t xml:space="preserve">azimuth 0 degree; mechanic downtilt: 0 degree </w:t>
            </w:r>
          </w:p>
        </w:tc>
      </w:tr>
      <w:tr>
        <w:tblPrEx>
          <w:tblCellMar>
            <w:top w:w="0" w:type="dxa"/>
            <w:left w:w="0" w:type="dxa"/>
            <w:bottom w:w="0" w:type="dxa"/>
            <w:right w:w="0" w:type="dxa"/>
          </w:tblCellMar>
        </w:tblPrEx>
        <w:trPr>
          <w:trHeight w:val="226" w:hRule="atLeast"/>
          <w:jc w:val="center"/>
        </w:trPr>
        <w:tc>
          <w:tcPr>
            <w:tcW w:w="1864" w:type="dxa"/>
            <w:tcBorders>
              <w:top w:val="single" w:color="000000" w:sz="8" w:space="0"/>
              <w:left w:val="single" w:color="000000" w:sz="8" w:space="0"/>
              <w:bottom w:val="single" w:color="000000" w:sz="8" w:space="0"/>
              <w:right w:val="single" w:color="auto" w:sz="4" w:space="0"/>
            </w:tcBorders>
            <w:shd w:val="clear" w:color="auto" w:fill="auto"/>
            <w:tcMar>
              <w:top w:w="15" w:type="dxa"/>
              <w:left w:w="107" w:type="dxa"/>
              <w:bottom w:w="0" w:type="dxa"/>
              <w:right w:w="107" w:type="dxa"/>
            </w:tcMar>
          </w:tcPr>
          <w:p>
            <w:pPr>
              <w:spacing w:after="120" w:line="240" w:lineRule="auto"/>
              <w:rPr>
                <w:b/>
                <w:sz w:val="18"/>
                <w:szCs w:val="18"/>
                <w:lang w:eastAsia="ja-JP"/>
              </w:rPr>
            </w:pPr>
            <w:r>
              <w:rPr>
                <w:b/>
                <w:sz w:val="18"/>
                <w:szCs w:val="18"/>
                <w:lang w:eastAsia="ja-JP"/>
              </w:rPr>
              <w:t>UE array orientation</w:t>
            </w:r>
          </w:p>
        </w:tc>
        <w:tc>
          <w:tcPr>
            <w:tcW w:w="7710" w:type="dxa"/>
            <w:tcBorders>
              <w:top w:val="single" w:color="auto" w:sz="4" w:space="0"/>
              <w:left w:val="single" w:color="auto" w:sz="4" w:space="0"/>
              <w:bottom w:val="single" w:color="auto" w:sz="4" w:space="0"/>
              <w:right w:val="single" w:color="auto" w:sz="4" w:space="0"/>
            </w:tcBorders>
            <w:shd w:val="clear" w:color="auto" w:fill="auto"/>
            <w:tcMar>
              <w:top w:w="15" w:type="dxa"/>
              <w:left w:w="107" w:type="dxa"/>
              <w:bottom w:w="0" w:type="dxa"/>
              <w:right w:w="107" w:type="dxa"/>
            </w:tcMar>
          </w:tcPr>
          <w:p>
            <w:pPr>
              <w:spacing w:after="120" w:line="240" w:lineRule="auto"/>
              <w:rPr>
                <w:rFonts w:eastAsia="Malgun Gothic"/>
                <w:kern w:val="24"/>
                <w:lang w:val="sv-SE"/>
              </w:rPr>
            </w:pPr>
            <w:r>
              <w:rPr>
                <w:rFonts w:eastAsia="Malgun Gothic"/>
                <w:kern w:val="24"/>
              </w:rPr>
              <w:t>Ω</w:t>
            </w:r>
            <w:r>
              <w:rPr>
                <w:rFonts w:eastAsia="Malgun Gothic"/>
                <w:i/>
                <w:iCs/>
                <w:kern w:val="24"/>
                <w:position w:val="-6"/>
                <w:vertAlign w:val="subscript"/>
              </w:rPr>
              <w:t>UT,</w:t>
            </w:r>
            <w:r>
              <w:rPr>
                <w:rFonts w:eastAsia="Arial Unicode MS"/>
                <w:kern w:val="2"/>
                <w:sz w:val="18"/>
                <w:szCs w:val="18"/>
              </w:rPr>
              <w:t xml:space="preserve"> uniformly distributed on [0,360] degree</w:t>
            </w:r>
            <w:r>
              <w:rPr>
                <w:rFonts w:eastAsia="MS Mincho"/>
                <w:kern w:val="24"/>
              </w:rPr>
              <w:t xml:space="preserve">, </w:t>
            </w:r>
            <w:r>
              <w:rPr>
                <w:rFonts w:eastAsia="Malgun Gothic"/>
                <w:kern w:val="24"/>
              </w:rPr>
              <w:t>Ω</w:t>
            </w:r>
            <w:r>
              <w:rPr>
                <w:rFonts w:eastAsia="Malgun Gothic"/>
                <w:i/>
                <w:iCs/>
                <w:kern w:val="24"/>
                <w:position w:val="-6"/>
                <w:vertAlign w:val="subscript"/>
              </w:rPr>
              <w:t>UT,</w:t>
            </w:r>
            <w:r>
              <w:rPr>
                <w:rFonts w:eastAsia="MS Mincho"/>
                <w:kern w:val="24"/>
              </w:rPr>
              <w:t xml:space="preserve">= 0 </w:t>
            </w:r>
            <w:r>
              <w:rPr>
                <w:rFonts w:eastAsia="Arial Unicode MS"/>
                <w:kern w:val="2"/>
                <w:sz w:val="18"/>
                <w:szCs w:val="18"/>
              </w:rPr>
              <w:t>degree</w:t>
            </w:r>
            <w:r>
              <w:rPr>
                <w:rFonts w:eastAsia="MS Mincho"/>
                <w:kern w:val="24"/>
              </w:rPr>
              <w:t xml:space="preserve">, </w:t>
            </w:r>
            <w:r>
              <w:rPr>
                <w:rFonts w:eastAsia="Malgun Gothic"/>
                <w:kern w:val="24"/>
              </w:rPr>
              <w:t>Ω</w:t>
            </w:r>
            <w:r>
              <w:rPr>
                <w:rFonts w:eastAsia="Malgun Gothic"/>
                <w:i/>
                <w:iCs/>
                <w:kern w:val="24"/>
                <w:position w:val="-6"/>
                <w:vertAlign w:val="subscript"/>
              </w:rPr>
              <w:t xml:space="preserve">UT, </w:t>
            </w:r>
            <w:r>
              <w:rPr>
                <w:rFonts w:eastAsia="MS Mincho"/>
                <w:kern w:val="24"/>
              </w:rPr>
              <w:t xml:space="preserve">= 0 </w:t>
            </w:r>
            <w:r>
              <w:rPr>
                <w:rFonts w:eastAsia="Arial Unicode MS"/>
                <w:kern w:val="2"/>
                <w:sz w:val="18"/>
                <w:szCs w:val="18"/>
              </w:rPr>
              <w:t>degree</w:t>
            </w:r>
          </w:p>
        </w:tc>
      </w:tr>
      <w:tr>
        <w:tblPrEx>
          <w:tblCellMar>
            <w:top w:w="0" w:type="dxa"/>
            <w:left w:w="0" w:type="dxa"/>
            <w:bottom w:w="0" w:type="dxa"/>
            <w:right w:w="0" w:type="dxa"/>
          </w:tblCellMar>
        </w:tblPrEx>
        <w:trPr>
          <w:trHeight w:val="226" w:hRule="atLeast"/>
          <w:jc w:val="center"/>
        </w:trPr>
        <w:tc>
          <w:tcPr>
            <w:tcW w:w="1864" w:type="dxa"/>
            <w:tcBorders>
              <w:top w:val="single" w:color="000000" w:sz="8" w:space="0"/>
              <w:left w:val="single" w:color="000000" w:sz="8" w:space="0"/>
              <w:bottom w:val="single" w:color="000000" w:sz="8" w:space="0"/>
              <w:right w:val="single" w:color="auto" w:sz="4" w:space="0"/>
            </w:tcBorders>
            <w:shd w:val="clear" w:color="auto" w:fill="auto"/>
            <w:tcMar>
              <w:top w:w="15" w:type="dxa"/>
              <w:left w:w="107" w:type="dxa"/>
              <w:bottom w:w="0" w:type="dxa"/>
              <w:right w:w="107" w:type="dxa"/>
            </w:tcMar>
          </w:tcPr>
          <w:p>
            <w:pPr>
              <w:spacing w:after="120" w:line="240" w:lineRule="auto"/>
              <w:rPr>
                <w:b/>
                <w:sz w:val="18"/>
                <w:szCs w:val="18"/>
                <w:lang w:eastAsia="ja-JP"/>
              </w:rPr>
            </w:pPr>
            <w:r>
              <w:rPr>
                <w:b/>
                <w:sz w:val="18"/>
                <w:szCs w:val="18"/>
              </w:rPr>
              <w:t>UE</w:t>
            </w:r>
            <w:r>
              <w:rPr>
                <w:b/>
                <w:sz w:val="18"/>
                <w:szCs w:val="18"/>
                <w:lang w:eastAsia="ja-JP"/>
              </w:rPr>
              <w:t xml:space="preserve"> antenna element radiation pattern</w:t>
            </w:r>
          </w:p>
        </w:tc>
        <w:tc>
          <w:tcPr>
            <w:tcW w:w="7710" w:type="dxa"/>
            <w:tcBorders>
              <w:top w:val="single" w:color="auto" w:sz="4" w:space="0"/>
              <w:left w:val="single" w:color="auto" w:sz="4" w:space="0"/>
              <w:bottom w:val="single" w:color="auto" w:sz="4" w:space="0"/>
              <w:right w:val="single" w:color="auto" w:sz="4" w:space="0"/>
            </w:tcBorders>
            <w:shd w:val="clear" w:color="auto" w:fill="auto"/>
          </w:tcPr>
          <w:p>
            <w:pPr>
              <w:spacing w:after="120" w:line="240" w:lineRule="auto"/>
              <w:ind w:firstLine="180" w:firstLineChars="100"/>
              <w:rPr>
                <w:sz w:val="18"/>
                <w:szCs w:val="18"/>
              </w:rPr>
            </w:pPr>
            <w:r>
              <w:rPr>
                <w:sz w:val="18"/>
                <w:szCs w:val="18"/>
              </w:rPr>
              <w:t xml:space="preserve">See </w:t>
            </w:r>
            <w:r>
              <w:rPr>
                <w:sz w:val="18"/>
                <w:szCs w:val="18"/>
                <w:lang w:eastAsia="ja-JP"/>
              </w:rPr>
              <w:t>Table A.</w:t>
            </w:r>
            <w:r>
              <w:rPr>
                <w:sz w:val="18"/>
                <w:szCs w:val="18"/>
              </w:rPr>
              <w:t>2.1-8 in TR 38.802</w:t>
            </w:r>
          </w:p>
        </w:tc>
      </w:tr>
      <w:tr>
        <w:tblPrEx>
          <w:tblCellMar>
            <w:top w:w="0" w:type="dxa"/>
            <w:left w:w="0" w:type="dxa"/>
            <w:bottom w:w="0" w:type="dxa"/>
            <w:right w:w="0" w:type="dxa"/>
          </w:tblCellMar>
        </w:tblPrEx>
        <w:trPr>
          <w:trHeight w:val="226" w:hRule="atLeast"/>
          <w:jc w:val="center"/>
        </w:trPr>
        <w:tc>
          <w:tcPr>
            <w:tcW w:w="1864" w:type="dxa"/>
            <w:tcBorders>
              <w:top w:val="single" w:color="000000" w:sz="8" w:space="0"/>
              <w:left w:val="single" w:color="000000" w:sz="8" w:space="0"/>
              <w:bottom w:val="single" w:color="000000" w:sz="8" w:space="0"/>
              <w:right w:val="single" w:color="auto" w:sz="4" w:space="0"/>
            </w:tcBorders>
            <w:shd w:val="clear" w:color="auto" w:fill="auto"/>
            <w:tcMar>
              <w:top w:w="15" w:type="dxa"/>
              <w:left w:w="107" w:type="dxa"/>
              <w:bottom w:w="0" w:type="dxa"/>
              <w:right w:w="107" w:type="dxa"/>
            </w:tcMar>
          </w:tcPr>
          <w:p>
            <w:pPr>
              <w:spacing w:after="120" w:line="240" w:lineRule="auto"/>
              <w:rPr>
                <w:b/>
                <w:sz w:val="18"/>
                <w:szCs w:val="18"/>
                <w:lang w:eastAsia="ja-JP"/>
              </w:rPr>
            </w:pPr>
            <w:r>
              <w:rPr>
                <w:b/>
                <w:sz w:val="18"/>
                <w:szCs w:val="18"/>
                <w:lang w:eastAsia="ja-JP"/>
              </w:rPr>
              <w:t>BF scheme</w:t>
            </w:r>
          </w:p>
        </w:tc>
        <w:tc>
          <w:tcPr>
            <w:tcW w:w="7710" w:type="dxa"/>
            <w:tcBorders>
              <w:top w:val="single" w:color="auto" w:sz="4" w:space="0"/>
              <w:left w:val="single" w:color="auto" w:sz="4" w:space="0"/>
              <w:bottom w:val="single" w:color="auto" w:sz="4" w:space="0"/>
              <w:right w:val="single" w:color="auto" w:sz="4" w:space="0"/>
            </w:tcBorders>
            <w:shd w:val="clear" w:color="auto" w:fill="auto"/>
            <w:tcMar>
              <w:top w:w="15" w:type="dxa"/>
              <w:left w:w="107" w:type="dxa"/>
              <w:bottom w:w="0" w:type="dxa"/>
              <w:right w:w="107" w:type="dxa"/>
            </w:tcMar>
          </w:tcPr>
          <w:p>
            <w:pPr>
              <w:pStyle w:val="23"/>
              <w:spacing w:before="0" w:beforeAutospacing="0" w:after="120" w:afterAutospacing="0"/>
              <w:rPr>
                <w:rFonts w:ascii="Times New Roman" w:hAnsi="Times New Roman" w:eastAsia="Arial Unicode MS" w:cs="Times New Roman"/>
                <w:kern w:val="2"/>
                <w:sz w:val="18"/>
                <w:szCs w:val="18"/>
              </w:rPr>
            </w:pPr>
            <w:r>
              <w:rPr>
                <w:rFonts w:ascii="Times New Roman" w:hAnsi="Times New Roman" w:eastAsia="Arial Unicode MS" w:cs="Times New Roman"/>
                <w:kern w:val="2"/>
                <w:sz w:val="18"/>
                <w:szCs w:val="18"/>
              </w:rPr>
              <w:t>Analog BF based on beam selection + Digital BF based on ideal SVD</w:t>
            </w:r>
          </w:p>
        </w:tc>
      </w:tr>
    </w:tbl>
    <w:p>
      <w:pPr>
        <w:spacing w:after="120"/>
      </w:pPr>
      <w:r>
        <w:rPr>
          <w:rFonts w:hint="eastAsia"/>
        </w:rPr>
        <w:t>Notes: Any other parameters</w:t>
      </w:r>
      <w:r>
        <w:t xml:space="preserve"> not specified</w:t>
      </w:r>
      <w:r>
        <w:rPr>
          <w:rFonts w:hint="eastAsia"/>
        </w:rPr>
        <w:t xml:space="preserve"> here remain the same as those in NR evaluation assumption.</w:t>
      </w:r>
    </w:p>
    <w:p>
      <w:pPr>
        <w:pStyle w:val="118"/>
        <w:numPr>
          <w:ilvl w:val="0"/>
          <w:numId w:val="0"/>
        </w:numPr>
        <w:spacing w:after="120" w:line="259" w:lineRule="auto"/>
        <w:rPr>
          <w:bCs/>
          <w:sz w:val="20"/>
        </w:rPr>
      </w:pPr>
    </w:p>
    <w:p>
      <w:pPr>
        <w:pStyle w:val="118"/>
        <w:numPr>
          <w:ilvl w:val="0"/>
          <w:numId w:val="0"/>
        </w:numPr>
        <w:spacing w:after="120" w:line="259" w:lineRule="auto"/>
        <w:rPr>
          <w:bCs/>
          <w:sz w:val="20"/>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Gulim">
    <w:panose1 w:val="020B0600000101010101"/>
    <w:charset w:val="81"/>
    <w:family w:val="roman"/>
    <w:pitch w:val="default"/>
    <w:sig w:usb0="B00002AF" w:usb1="69D77CFB" w:usb2="00000030" w:usb3="00000000" w:csb0="4008009F" w:csb1="DFD70000"/>
  </w:font>
  <w:font w:name="DengXian">
    <w:altName w:val="宋体"/>
    <w:panose1 w:val="00000000000000000000"/>
    <w:charset w:val="86"/>
    <w:family w:val="auto"/>
    <w:pitch w:val="default"/>
    <w:sig w:usb0="00000000" w:usb1="00000000" w:usb2="00000016" w:usb3="00000000" w:csb0="0004000F" w:csb1="00000000"/>
  </w:font>
  <w:font w:name="t">
    <w:altName w:val="Segoe Print"/>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3F" w:usb3="00000000" w:csb0="003F01FF" w:csb1="00000000"/>
  </w:font>
  <w:font w:name="PMingLiU">
    <w:panose1 w:val="02020500000000000000"/>
    <w:charset w:val="88"/>
    <w:family w:val="auto"/>
    <w:pitch w:val="default"/>
    <w:sig w:usb0="A00002FF" w:usb1="28CFFCFA" w:usb2="00000016" w:usb3="00000000" w:csb0="001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E5D304"/>
    <w:multiLevelType w:val="singleLevel"/>
    <w:tmpl w:val="A1E5D304"/>
    <w:lvl w:ilvl="0" w:tentative="0">
      <w:start w:val="1"/>
      <w:numFmt w:val="bullet"/>
      <w:lvlText w:val=""/>
      <w:lvlJc w:val="left"/>
      <w:pPr>
        <w:ind w:left="420" w:hanging="420"/>
      </w:pPr>
      <w:rPr>
        <w:rFonts w:hint="default" w:ascii="Wingdings" w:hAnsi="Wingdings"/>
      </w:rPr>
    </w:lvl>
  </w:abstractNum>
  <w:abstractNum w:abstractNumId="1">
    <w:nsid w:val="A7F02F3F"/>
    <w:multiLevelType w:val="multilevel"/>
    <w:tmpl w:val="A7F02F3F"/>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819"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DA83F135"/>
    <w:multiLevelType w:val="multilevel"/>
    <w:tmpl w:val="DA83F1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F57738FC"/>
    <w:multiLevelType w:val="singleLevel"/>
    <w:tmpl w:val="F57738FC"/>
    <w:lvl w:ilvl="0" w:tentative="0">
      <w:start w:val="1"/>
      <w:numFmt w:val="bullet"/>
      <w:lvlText w:val=""/>
      <w:lvlJc w:val="left"/>
      <w:pPr>
        <w:ind w:left="420" w:hanging="420"/>
      </w:pPr>
      <w:rPr>
        <w:rFonts w:hint="default" w:ascii="Wingdings" w:hAnsi="Wingdings"/>
      </w:r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60D3FFB"/>
    <w:multiLevelType w:val="multilevel"/>
    <w:tmpl w:val="060D3FFB"/>
    <w:lvl w:ilvl="0" w:tentative="0">
      <w:start w:val="1"/>
      <w:numFmt w:val="bullet"/>
      <w:pStyle w:val="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91CF948"/>
    <w:multiLevelType w:val="multilevel"/>
    <w:tmpl w:val="091CF948"/>
    <w:lvl w:ilvl="0" w:tentative="0">
      <w:start w:val="3"/>
      <w:numFmt w:val="bullet"/>
      <w:lvlText w:val="-"/>
      <w:lvlJc w:val="left"/>
      <w:pPr>
        <w:tabs>
          <w:tab w:val="left" w:pos="0"/>
        </w:tabs>
        <w:ind w:left="760" w:hanging="360"/>
      </w:pPr>
      <w:rPr>
        <w:rFonts w:hint="default" w:ascii="Times New Roman" w:hAnsi="Times New Roman" w:eastAsia="Malgun Gothic" w:cs="Times New Roman"/>
      </w:rPr>
    </w:lvl>
    <w:lvl w:ilvl="1" w:tentative="0">
      <w:start w:val="1"/>
      <w:numFmt w:val="bullet"/>
      <w:lvlText w:val=""/>
      <w:lvlJc w:val="left"/>
      <w:pPr>
        <w:tabs>
          <w:tab w:val="left" w:pos="0"/>
        </w:tabs>
        <w:ind w:left="1200" w:hanging="400"/>
      </w:pPr>
      <w:rPr>
        <w:rFonts w:hint="default" w:ascii="Symbol" w:hAnsi="Symbol"/>
      </w:rPr>
    </w:lvl>
    <w:lvl w:ilvl="2" w:tentative="0">
      <w:start w:val="1"/>
      <w:numFmt w:val="bullet"/>
      <w:lvlText w:val="o"/>
      <w:lvlJc w:val="left"/>
      <w:pPr>
        <w:tabs>
          <w:tab w:val="left" w:pos="0"/>
        </w:tabs>
        <w:ind w:left="1600" w:hanging="400"/>
      </w:pPr>
      <w:rPr>
        <w:rFonts w:hint="default" w:ascii="Courier New" w:hAnsi="Courier New" w:cs="Courier New"/>
      </w:rPr>
    </w:lvl>
    <w:lvl w:ilvl="3" w:tentative="0">
      <w:start w:val="3"/>
      <w:numFmt w:val="bullet"/>
      <w:lvlText w:val="-"/>
      <w:lvlJc w:val="left"/>
      <w:pPr>
        <w:tabs>
          <w:tab w:val="left" w:pos="0"/>
        </w:tabs>
        <w:ind w:left="2000" w:hanging="400"/>
      </w:pPr>
      <w:rPr>
        <w:rFonts w:hint="default" w:ascii="Times New Roman" w:hAnsi="Times New Roman" w:eastAsia="Malgun Gothic" w:cs="Times New Roman"/>
      </w:rPr>
    </w:lvl>
    <w:lvl w:ilvl="4" w:tentative="0">
      <w:start w:val="1"/>
      <w:numFmt w:val="bullet"/>
      <w:lvlText w:val=""/>
      <w:lvlJc w:val="left"/>
      <w:pPr>
        <w:tabs>
          <w:tab w:val="left" w:pos="0"/>
        </w:tabs>
        <w:ind w:left="2400" w:hanging="400"/>
      </w:pPr>
      <w:rPr>
        <w:rFonts w:hint="default" w:ascii="Wingdings" w:hAnsi="Wingdings"/>
      </w:rPr>
    </w:lvl>
    <w:lvl w:ilvl="5" w:tentative="0">
      <w:start w:val="1"/>
      <w:numFmt w:val="bullet"/>
      <w:lvlText w:val=""/>
      <w:lvlJc w:val="left"/>
      <w:pPr>
        <w:tabs>
          <w:tab w:val="left" w:pos="0"/>
        </w:tabs>
        <w:ind w:left="2800" w:hanging="400"/>
      </w:pPr>
      <w:rPr>
        <w:rFonts w:hint="default" w:ascii="Wingdings" w:hAnsi="Wingdings"/>
      </w:rPr>
    </w:lvl>
    <w:lvl w:ilvl="6" w:tentative="0">
      <w:start w:val="1"/>
      <w:numFmt w:val="bullet"/>
      <w:lvlText w:val=""/>
      <w:lvlJc w:val="left"/>
      <w:pPr>
        <w:tabs>
          <w:tab w:val="left" w:pos="0"/>
        </w:tabs>
        <w:ind w:left="3200" w:hanging="400"/>
      </w:pPr>
      <w:rPr>
        <w:rFonts w:hint="default" w:ascii="Wingdings" w:hAnsi="Wingdings"/>
      </w:rPr>
    </w:lvl>
    <w:lvl w:ilvl="7" w:tentative="0">
      <w:start w:val="1"/>
      <w:numFmt w:val="bullet"/>
      <w:lvlText w:val=""/>
      <w:lvlJc w:val="left"/>
      <w:pPr>
        <w:tabs>
          <w:tab w:val="left" w:pos="0"/>
        </w:tabs>
        <w:ind w:left="3600" w:hanging="400"/>
      </w:pPr>
      <w:rPr>
        <w:rFonts w:hint="default" w:ascii="Wingdings" w:hAnsi="Wingdings"/>
      </w:rPr>
    </w:lvl>
    <w:lvl w:ilvl="8" w:tentative="0">
      <w:start w:val="1"/>
      <w:numFmt w:val="bullet"/>
      <w:lvlText w:val=""/>
      <w:lvlJc w:val="left"/>
      <w:pPr>
        <w:tabs>
          <w:tab w:val="left" w:pos="0"/>
        </w:tabs>
        <w:ind w:left="4000" w:hanging="400"/>
      </w:pPr>
      <w:rPr>
        <w:rFonts w:hint="default" w:ascii="Wingdings" w:hAnsi="Wingdings"/>
      </w:rPr>
    </w:lvl>
  </w:abstractNum>
  <w:abstractNum w:abstractNumId="7">
    <w:nsid w:val="222E891E"/>
    <w:multiLevelType w:val="singleLevel"/>
    <w:tmpl w:val="222E891E"/>
    <w:lvl w:ilvl="0" w:tentative="0">
      <w:start w:val="1"/>
      <w:numFmt w:val="bullet"/>
      <w:lvlText w:val=""/>
      <w:lvlJc w:val="left"/>
      <w:pPr>
        <w:tabs>
          <w:tab w:val="left" w:pos="420"/>
        </w:tabs>
        <w:ind w:left="840" w:hanging="420"/>
      </w:pPr>
      <w:rPr>
        <w:rFonts w:hint="default" w:ascii="Wingdings" w:hAnsi="Wingdings"/>
      </w:rPr>
    </w:lvl>
  </w:abstractNum>
  <w:abstractNum w:abstractNumId="8">
    <w:nsid w:val="35EA1E3A"/>
    <w:multiLevelType w:val="multilevel"/>
    <w:tmpl w:val="35EA1E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114"/>
      <w:lvlText w:val="[%1]"/>
      <w:lvlJc w:val="left"/>
      <w:pPr>
        <w:tabs>
          <w:tab w:val="left" w:pos="360"/>
        </w:tabs>
        <w:ind w:left="360" w:hanging="360"/>
      </w:pPr>
    </w:lvl>
  </w:abstractNum>
  <w:abstractNum w:abstractNumId="10">
    <w:nsid w:val="426B4A38"/>
    <w:multiLevelType w:val="multilevel"/>
    <w:tmpl w:val="426B4A38"/>
    <w:lvl w:ilvl="0" w:tentative="0">
      <w:start w:val="1"/>
      <w:numFmt w:val="decimalZero"/>
      <w:pStyle w:val="120"/>
      <w:lvlText w:val="[00%1]"/>
      <w:lvlJc w:val="left"/>
      <w:pPr>
        <w:tabs>
          <w:tab w:val="left" w:pos="8640"/>
        </w:tabs>
        <w:ind w:left="7560" w:firstLine="0"/>
      </w:pPr>
      <w:rPr>
        <w:rFonts w:hint="default"/>
        <w:b/>
        <w:i w:val="0"/>
        <w:color w:val="auto"/>
        <w:sz w:val="24"/>
        <w:szCs w:val="24"/>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11">
    <w:nsid w:val="4A8D3CCE"/>
    <w:multiLevelType w:val="multilevel"/>
    <w:tmpl w:val="4A8D3CCE"/>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12">
    <w:nsid w:val="4B140ED7"/>
    <w:multiLevelType w:val="multilevel"/>
    <w:tmpl w:val="4B140ED7"/>
    <w:lvl w:ilvl="0" w:tentative="0">
      <w:start w:val="0"/>
      <w:numFmt w:val="bullet"/>
      <w:lvlText w:val="-"/>
      <w:lvlJc w:val="left"/>
      <w:pPr>
        <w:ind w:left="360" w:hanging="360"/>
      </w:pPr>
      <w:rPr>
        <w:rFonts w:hint="default" w:ascii="Times New Roman" w:hAnsi="Times New Roman" w:eastAsia="微软雅黑" w:cs="Times New Roman"/>
      </w:rPr>
    </w:lvl>
    <w:lvl w:ilvl="1" w:tentative="0">
      <w:start w:val="10"/>
      <w:numFmt w:val="bullet"/>
      <w:lvlText w:val="•"/>
      <w:lvlJc w:val="left"/>
      <w:pPr>
        <w:ind w:left="840" w:hanging="420"/>
      </w:pPr>
      <w:rPr>
        <w:rFonts w:hint="default" w:ascii="Times" w:hAnsi="Times" w:eastAsia="Batang" w:cs="Time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4BDF65F6"/>
    <w:multiLevelType w:val="multilevel"/>
    <w:tmpl w:val="4BDF65F6"/>
    <w:lvl w:ilvl="0" w:tentative="0">
      <w:start w:val="1"/>
      <w:numFmt w:val="decimal"/>
      <w:pStyle w:val="11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4C841F1E"/>
    <w:multiLevelType w:val="multilevel"/>
    <w:tmpl w:val="4C841F1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1083285"/>
    <w:multiLevelType w:val="multilevel"/>
    <w:tmpl w:val="61083285"/>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Times New Roman" w:hAnsi="Times New Roman" w:eastAsia="宋体" w:cs="Times New Roman"/>
        <w:b/>
        <w:sz w:val="20"/>
        <w:u w:val="none"/>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687B09CD"/>
    <w:multiLevelType w:val="multilevel"/>
    <w:tmpl w:val="687B09CD"/>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F397D16"/>
    <w:multiLevelType w:val="multilevel"/>
    <w:tmpl w:val="7F397D16"/>
    <w:lvl w:ilvl="0" w:tentative="0">
      <w:start w:val="1"/>
      <w:numFmt w:val="bullet"/>
      <w:lvlText w:val="-"/>
      <w:lvlJc w:val="left"/>
      <w:pPr>
        <w:ind w:left="360" w:hanging="360"/>
      </w:pPr>
      <w:rPr>
        <w:rFonts w:hint="default" w:ascii="Times New Roman" w:hAnsi="Times New Roman" w:eastAsia="宋体" w:cs="Times New Roman"/>
      </w:rPr>
    </w:lvl>
    <w:lvl w:ilvl="1" w:tentative="0">
      <w:start w:val="0"/>
      <w:numFmt w:val="bullet"/>
      <w:lvlText w:val="-"/>
      <w:lvlJc w:val="left"/>
      <w:pPr>
        <w:ind w:left="840" w:hanging="420"/>
      </w:pPr>
      <w:rPr>
        <w:rFonts w:hint="default" w:ascii="Times New Roman" w:hAnsi="Times New Roman" w:eastAsia="Times New Roman" w:cs="Times New Roman"/>
        <w:b/>
        <w:sz w:val="20"/>
        <w:u w:val="none"/>
        <w:lang w:val="en-GB"/>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7F4F9F87"/>
    <w:multiLevelType w:val="multilevel"/>
    <w:tmpl w:val="7F4F9F87"/>
    <w:lvl w:ilvl="0" w:tentative="0">
      <w:start w:val="3"/>
      <w:numFmt w:val="bullet"/>
      <w:lvlText w:val="-"/>
      <w:lvlJc w:val="left"/>
      <w:pPr>
        <w:tabs>
          <w:tab w:val="left" w:pos="0"/>
        </w:tabs>
        <w:ind w:left="760" w:hanging="360"/>
      </w:pPr>
      <w:rPr>
        <w:rFonts w:hint="default" w:ascii="Times New Roman" w:hAnsi="Times New Roman" w:eastAsia="Malgun Gothic" w:cs="Tahoma"/>
      </w:rPr>
    </w:lvl>
    <w:lvl w:ilvl="1" w:tentative="0">
      <w:start w:val="1"/>
      <w:numFmt w:val="bullet"/>
      <w:lvlText w:val=""/>
      <w:lvlJc w:val="left"/>
      <w:pPr>
        <w:tabs>
          <w:tab w:val="left" w:pos="0"/>
        </w:tabs>
        <w:ind w:left="1200" w:hanging="400"/>
      </w:pPr>
      <w:rPr>
        <w:rFonts w:hint="default" w:ascii="Symbol" w:hAnsi="Symbol"/>
      </w:rPr>
    </w:lvl>
    <w:lvl w:ilvl="2" w:tentative="0">
      <w:start w:val="1"/>
      <w:numFmt w:val="bullet"/>
      <w:lvlText w:val="o"/>
      <w:lvlJc w:val="left"/>
      <w:pPr>
        <w:tabs>
          <w:tab w:val="left" w:pos="0"/>
        </w:tabs>
        <w:ind w:left="1600" w:hanging="400"/>
      </w:pPr>
      <w:rPr>
        <w:rFonts w:hint="default" w:ascii="Courier New" w:hAnsi="Courier New" w:cs="Courier New"/>
      </w:rPr>
    </w:lvl>
    <w:lvl w:ilvl="3" w:tentative="0">
      <w:start w:val="3"/>
      <w:numFmt w:val="bullet"/>
      <w:lvlText w:val="-"/>
      <w:lvlJc w:val="left"/>
      <w:pPr>
        <w:tabs>
          <w:tab w:val="left" w:pos="0"/>
        </w:tabs>
        <w:ind w:left="2000" w:hanging="400"/>
      </w:pPr>
      <w:rPr>
        <w:rFonts w:hint="default" w:ascii="Times New Roman" w:hAnsi="Times New Roman" w:eastAsia="Malgun Gothic" w:cs="Tahoma"/>
      </w:rPr>
    </w:lvl>
    <w:lvl w:ilvl="4" w:tentative="0">
      <w:start w:val="1"/>
      <w:numFmt w:val="bullet"/>
      <w:lvlText w:val=""/>
      <w:lvlJc w:val="left"/>
      <w:pPr>
        <w:tabs>
          <w:tab w:val="left" w:pos="0"/>
        </w:tabs>
        <w:ind w:left="2400" w:hanging="400"/>
      </w:pPr>
      <w:rPr>
        <w:rFonts w:hint="default" w:ascii="Wingdings" w:hAnsi="Wingdings"/>
      </w:rPr>
    </w:lvl>
    <w:lvl w:ilvl="5" w:tentative="0">
      <w:start w:val="1"/>
      <w:numFmt w:val="bullet"/>
      <w:lvlText w:val=""/>
      <w:lvlJc w:val="left"/>
      <w:pPr>
        <w:tabs>
          <w:tab w:val="left" w:pos="0"/>
        </w:tabs>
        <w:ind w:left="2800" w:hanging="400"/>
      </w:pPr>
      <w:rPr>
        <w:rFonts w:hint="default" w:ascii="Wingdings" w:hAnsi="Wingdings"/>
      </w:rPr>
    </w:lvl>
    <w:lvl w:ilvl="6" w:tentative="0">
      <w:start w:val="1"/>
      <w:numFmt w:val="bullet"/>
      <w:lvlText w:val=""/>
      <w:lvlJc w:val="left"/>
      <w:pPr>
        <w:tabs>
          <w:tab w:val="left" w:pos="0"/>
        </w:tabs>
        <w:ind w:left="3200" w:hanging="400"/>
      </w:pPr>
      <w:rPr>
        <w:rFonts w:hint="default" w:ascii="Wingdings" w:hAnsi="Wingdings"/>
      </w:rPr>
    </w:lvl>
    <w:lvl w:ilvl="7" w:tentative="0">
      <w:start w:val="1"/>
      <w:numFmt w:val="bullet"/>
      <w:lvlText w:val=""/>
      <w:lvlJc w:val="left"/>
      <w:pPr>
        <w:tabs>
          <w:tab w:val="left" w:pos="0"/>
        </w:tabs>
        <w:ind w:left="3600" w:hanging="400"/>
      </w:pPr>
      <w:rPr>
        <w:rFonts w:hint="default" w:ascii="Wingdings" w:hAnsi="Wingdings"/>
      </w:rPr>
    </w:lvl>
    <w:lvl w:ilvl="8" w:tentative="0">
      <w:start w:val="1"/>
      <w:numFmt w:val="bullet"/>
      <w:lvlText w:val=""/>
      <w:lvlJc w:val="left"/>
      <w:pPr>
        <w:tabs>
          <w:tab w:val="left" w:pos="0"/>
        </w:tabs>
        <w:ind w:left="4000" w:hanging="400"/>
      </w:pPr>
      <w:rPr>
        <w:rFonts w:hint="default" w:ascii="Wingdings" w:hAnsi="Wingdings"/>
      </w:rPr>
    </w:lvl>
  </w:abstractNum>
  <w:num w:numId="1">
    <w:abstractNumId w:val="1"/>
  </w:num>
  <w:num w:numId="2">
    <w:abstractNumId w:val="4"/>
  </w:num>
  <w:num w:numId="3">
    <w:abstractNumId w:val="17"/>
  </w:num>
  <w:num w:numId="4">
    <w:abstractNumId w:val="5"/>
  </w:num>
  <w:num w:numId="5">
    <w:abstractNumId w:val="9"/>
  </w:num>
  <w:num w:numId="6">
    <w:abstractNumId w:val="13"/>
  </w:num>
  <w:num w:numId="7">
    <w:abstractNumId w:val="10"/>
  </w:num>
  <w:num w:numId="8">
    <w:abstractNumId w:val="11"/>
  </w:num>
  <w:num w:numId="9">
    <w:abstractNumId w:val="2"/>
  </w:num>
  <w:num w:numId="10">
    <w:abstractNumId w:val="18"/>
  </w:num>
  <w:num w:numId="11">
    <w:abstractNumId w:val="0"/>
  </w:num>
  <w:num w:numId="12">
    <w:abstractNumId w:val="7"/>
  </w:num>
  <w:num w:numId="13">
    <w:abstractNumId w:val="8"/>
  </w:num>
  <w:num w:numId="14">
    <w:abstractNumId w:val="14"/>
  </w:num>
  <w:num w:numId="15">
    <w:abstractNumId w:val="19"/>
  </w:num>
  <w:num w:numId="16">
    <w:abstractNumId w:val="15"/>
  </w:num>
  <w:num w:numId="17">
    <w:abstractNumId w:val="6"/>
  </w:num>
  <w:num w:numId="18">
    <w:abstractNumId w:val="12"/>
  </w:num>
  <w:num w:numId="19">
    <w:abstractNumId w:val="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11D"/>
    <w:rsid w:val="00007304"/>
    <w:rsid w:val="00007880"/>
    <w:rsid w:val="00007CA7"/>
    <w:rsid w:val="00007EEB"/>
    <w:rsid w:val="00010512"/>
    <w:rsid w:val="0001054F"/>
    <w:rsid w:val="00010969"/>
    <w:rsid w:val="00010AF9"/>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44B9"/>
    <w:rsid w:val="000244CA"/>
    <w:rsid w:val="00024585"/>
    <w:rsid w:val="00025086"/>
    <w:rsid w:val="00025226"/>
    <w:rsid w:val="00025695"/>
    <w:rsid w:val="000257BD"/>
    <w:rsid w:val="00025F6C"/>
    <w:rsid w:val="00026826"/>
    <w:rsid w:val="00026B95"/>
    <w:rsid w:val="00026C59"/>
    <w:rsid w:val="000271B7"/>
    <w:rsid w:val="0002734F"/>
    <w:rsid w:val="00027712"/>
    <w:rsid w:val="00027AF7"/>
    <w:rsid w:val="00027B48"/>
    <w:rsid w:val="00027B55"/>
    <w:rsid w:val="00027D0A"/>
    <w:rsid w:val="00027E02"/>
    <w:rsid w:val="000303C2"/>
    <w:rsid w:val="0003074F"/>
    <w:rsid w:val="00030A1A"/>
    <w:rsid w:val="00030BBE"/>
    <w:rsid w:val="00030C02"/>
    <w:rsid w:val="00030E19"/>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787"/>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EA7"/>
    <w:rsid w:val="00060094"/>
    <w:rsid w:val="000600F5"/>
    <w:rsid w:val="00060B08"/>
    <w:rsid w:val="00060BF4"/>
    <w:rsid w:val="00061065"/>
    <w:rsid w:val="000618CF"/>
    <w:rsid w:val="00061D38"/>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4888"/>
    <w:rsid w:val="00074A32"/>
    <w:rsid w:val="00074B8B"/>
    <w:rsid w:val="000757C4"/>
    <w:rsid w:val="00075A6E"/>
    <w:rsid w:val="00075E20"/>
    <w:rsid w:val="0007636A"/>
    <w:rsid w:val="000764DA"/>
    <w:rsid w:val="000765D9"/>
    <w:rsid w:val="000768A6"/>
    <w:rsid w:val="0007696E"/>
    <w:rsid w:val="0007723B"/>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E47"/>
    <w:rsid w:val="00082E4E"/>
    <w:rsid w:val="000834E5"/>
    <w:rsid w:val="00083875"/>
    <w:rsid w:val="000838D2"/>
    <w:rsid w:val="000848BD"/>
    <w:rsid w:val="0008497B"/>
    <w:rsid w:val="00084F2B"/>
    <w:rsid w:val="0008525F"/>
    <w:rsid w:val="00085B0D"/>
    <w:rsid w:val="00085CA5"/>
    <w:rsid w:val="00086248"/>
    <w:rsid w:val="000864DC"/>
    <w:rsid w:val="00086793"/>
    <w:rsid w:val="000867CC"/>
    <w:rsid w:val="00086C0D"/>
    <w:rsid w:val="000871F4"/>
    <w:rsid w:val="000902F8"/>
    <w:rsid w:val="000903CA"/>
    <w:rsid w:val="00090B8B"/>
    <w:rsid w:val="00090C79"/>
    <w:rsid w:val="00090D90"/>
    <w:rsid w:val="00090E09"/>
    <w:rsid w:val="00091853"/>
    <w:rsid w:val="00091ABB"/>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EA"/>
    <w:rsid w:val="000A6303"/>
    <w:rsid w:val="000A654E"/>
    <w:rsid w:val="000A777F"/>
    <w:rsid w:val="000B00E0"/>
    <w:rsid w:val="000B0383"/>
    <w:rsid w:val="000B07BE"/>
    <w:rsid w:val="000B1A32"/>
    <w:rsid w:val="000B2838"/>
    <w:rsid w:val="000B2E16"/>
    <w:rsid w:val="000B332B"/>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3DA"/>
    <w:rsid w:val="000C395E"/>
    <w:rsid w:val="000C3BDA"/>
    <w:rsid w:val="000C4240"/>
    <w:rsid w:val="000C429A"/>
    <w:rsid w:val="000C45FE"/>
    <w:rsid w:val="000C4972"/>
    <w:rsid w:val="000C4ECD"/>
    <w:rsid w:val="000C577F"/>
    <w:rsid w:val="000C5E20"/>
    <w:rsid w:val="000C5E7D"/>
    <w:rsid w:val="000C62FC"/>
    <w:rsid w:val="000C64C0"/>
    <w:rsid w:val="000C6C88"/>
    <w:rsid w:val="000C7331"/>
    <w:rsid w:val="000C735C"/>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3D1E"/>
    <w:rsid w:val="000D463D"/>
    <w:rsid w:val="000D4C91"/>
    <w:rsid w:val="000D4ECB"/>
    <w:rsid w:val="000D58E6"/>
    <w:rsid w:val="000D5EAA"/>
    <w:rsid w:val="000D613F"/>
    <w:rsid w:val="000D6564"/>
    <w:rsid w:val="000D6707"/>
    <w:rsid w:val="000D744C"/>
    <w:rsid w:val="000D7671"/>
    <w:rsid w:val="000D76A7"/>
    <w:rsid w:val="000D7762"/>
    <w:rsid w:val="000D799C"/>
    <w:rsid w:val="000E0044"/>
    <w:rsid w:val="000E0451"/>
    <w:rsid w:val="000E0908"/>
    <w:rsid w:val="000E0A8F"/>
    <w:rsid w:val="000E0C5D"/>
    <w:rsid w:val="000E108E"/>
    <w:rsid w:val="000E173B"/>
    <w:rsid w:val="000E1BCB"/>
    <w:rsid w:val="000E1C10"/>
    <w:rsid w:val="000E1CD9"/>
    <w:rsid w:val="000E20F2"/>
    <w:rsid w:val="000E2524"/>
    <w:rsid w:val="000E2788"/>
    <w:rsid w:val="000E2955"/>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2B"/>
    <w:rsid w:val="000E54DD"/>
    <w:rsid w:val="000E583A"/>
    <w:rsid w:val="000E5CD1"/>
    <w:rsid w:val="000E6036"/>
    <w:rsid w:val="000E636A"/>
    <w:rsid w:val="000E6927"/>
    <w:rsid w:val="000E69C4"/>
    <w:rsid w:val="000E6DFB"/>
    <w:rsid w:val="000E7188"/>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43B9"/>
    <w:rsid w:val="000F4551"/>
    <w:rsid w:val="000F48F4"/>
    <w:rsid w:val="000F4E7F"/>
    <w:rsid w:val="000F4FBF"/>
    <w:rsid w:val="000F5901"/>
    <w:rsid w:val="000F5DEF"/>
    <w:rsid w:val="000F6186"/>
    <w:rsid w:val="000F6199"/>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4D0"/>
    <w:rsid w:val="00101AFD"/>
    <w:rsid w:val="00101B58"/>
    <w:rsid w:val="00101C8E"/>
    <w:rsid w:val="00102192"/>
    <w:rsid w:val="0010229B"/>
    <w:rsid w:val="00102718"/>
    <w:rsid w:val="00102829"/>
    <w:rsid w:val="00102C38"/>
    <w:rsid w:val="00103199"/>
    <w:rsid w:val="001038DE"/>
    <w:rsid w:val="00103A8C"/>
    <w:rsid w:val="00103E17"/>
    <w:rsid w:val="00103EC9"/>
    <w:rsid w:val="0010402E"/>
    <w:rsid w:val="00104247"/>
    <w:rsid w:val="00104671"/>
    <w:rsid w:val="001046A2"/>
    <w:rsid w:val="00104768"/>
    <w:rsid w:val="001048B1"/>
    <w:rsid w:val="00104B36"/>
    <w:rsid w:val="00104C0D"/>
    <w:rsid w:val="00104D0E"/>
    <w:rsid w:val="00105A7D"/>
    <w:rsid w:val="00105D9D"/>
    <w:rsid w:val="00105F76"/>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388B"/>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8EA"/>
    <w:rsid w:val="00121AF1"/>
    <w:rsid w:val="0012263D"/>
    <w:rsid w:val="00122904"/>
    <w:rsid w:val="00122EC0"/>
    <w:rsid w:val="00123244"/>
    <w:rsid w:val="00123496"/>
    <w:rsid w:val="0012379D"/>
    <w:rsid w:val="00123F70"/>
    <w:rsid w:val="00125197"/>
    <w:rsid w:val="001253BD"/>
    <w:rsid w:val="0012547C"/>
    <w:rsid w:val="00125526"/>
    <w:rsid w:val="001266BA"/>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425D"/>
    <w:rsid w:val="001444BC"/>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C11"/>
    <w:rsid w:val="00150D33"/>
    <w:rsid w:val="00150ED9"/>
    <w:rsid w:val="001510E2"/>
    <w:rsid w:val="0015138B"/>
    <w:rsid w:val="00151632"/>
    <w:rsid w:val="00151650"/>
    <w:rsid w:val="0015173E"/>
    <w:rsid w:val="001518A6"/>
    <w:rsid w:val="001522BF"/>
    <w:rsid w:val="00152345"/>
    <w:rsid w:val="00152731"/>
    <w:rsid w:val="00153849"/>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2F3"/>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5D46"/>
    <w:rsid w:val="00166659"/>
    <w:rsid w:val="00167146"/>
    <w:rsid w:val="00167FDF"/>
    <w:rsid w:val="00170C25"/>
    <w:rsid w:val="00170D4E"/>
    <w:rsid w:val="00171303"/>
    <w:rsid w:val="0017169D"/>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780"/>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B011F"/>
    <w:rsid w:val="001B019B"/>
    <w:rsid w:val="001B088B"/>
    <w:rsid w:val="001B0B5F"/>
    <w:rsid w:val="001B0D07"/>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71"/>
    <w:rsid w:val="001C5483"/>
    <w:rsid w:val="001C5739"/>
    <w:rsid w:val="001C5E55"/>
    <w:rsid w:val="001C61FA"/>
    <w:rsid w:val="001C6674"/>
    <w:rsid w:val="001C6B2B"/>
    <w:rsid w:val="001C6BB2"/>
    <w:rsid w:val="001C6C9C"/>
    <w:rsid w:val="001C6EE0"/>
    <w:rsid w:val="001C6FE6"/>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A93"/>
    <w:rsid w:val="001D5CF4"/>
    <w:rsid w:val="001D5ECA"/>
    <w:rsid w:val="001D6738"/>
    <w:rsid w:val="001D691F"/>
    <w:rsid w:val="001D6FDE"/>
    <w:rsid w:val="001D71E9"/>
    <w:rsid w:val="001D747E"/>
    <w:rsid w:val="001D7B87"/>
    <w:rsid w:val="001D7BF0"/>
    <w:rsid w:val="001E072A"/>
    <w:rsid w:val="001E0A83"/>
    <w:rsid w:val="001E0EAE"/>
    <w:rsid w:val="001E147D"/>
    <w:rsid w:val="001E16D4"/>
    <w:rsid w:val="001E1705"/>
    <w:rsid w:val="001E1760"/>
    <w:rsid w:val="001E1A77"/>
    <w:rsid w:val="001E2890"/>
    <w:rsid w:val="001E2A05"/>
    <w:rsid w:val="001E2B19"/>
    <w:rsid w:val="001E308B"/>
    <w:rsid w:val="001E327B"/>
    <w:rsid w:val="001E35C2"/>
    <w:rsid w:val="001E38F2"/>
    <w:rsid w:val="001E3D04"/>
    <w:rsid w:val="001E4720"/>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6C3"/>
    <w:rsid w:val="002007F6"/>
    <w:rsid w:val="002008BE"/>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A6E"/>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2CF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31"/>
    <w:rsid w:val="0023067E"/>
    <w:rsid w:val="00230811"/>
    <w:rsid w:val="00230B5E"/>
    <w:rsid w:val="0023174E"/>
    <w:rsid w:val="002318D4"/>
    <w:rsid w:val="00231F98"/>
    <w:rsid w:val="00231FE0"/>
    <w:rsid w:val="0023213B"/>
    <w:rsid w:val="0023261E"/>
    <w:rsid w:val="00232CC6"/>
    <w:rsid w:val="00232EC6"/>
    <w:rsid w:val="002331E4"/>
    <w:rsid w:val="00233638"/>
    <w:rsid w:val="00233B0D"/>
    <w:rsid w:val="0023420A"/>
    <w:rsid w:val="00234EDC"/>
    <w:rsid w:val="002357D4"/>
    <w:rsid w:val="0023589D"/>
    <w:rsid w:val="0023590E"/>
    <w:rsid w:val="00235E20"/>
    <w:rsid w:val="00236533"/>
    <w:rsid w:val="00237063"/>
    <w:rsid w:val="002373FD"/>
    <w:rsid w:val="00240AEF"/>
    <w:rsid w:val="00240B53"/>
    <w:rsid w:val="00240C3D"/>
    <w:rsid w:val="00240FD1"/>
    <w:rsid w:val="002414DB"/>
    <w:rsid w:val="00241BBD"/>
    <w:rsid w:val="00241E46"/>
    <w:rsid w:val="00242322"/>
    <w:rsid w:val="002424E5"/>
    <w:rsid w:val="0024289A"/>
    <w:rsid w:val="002429EF"/>
    <w:rsid w:val="00242EBC"/>
    <w:rsid w:val="002439C6"/>
    <w:rsid w:val="00243C86"/>
    <w:rsid w:val="00244303"/>
    <w:rsid w:val="002444AE"/>
    <w:rsid w:val="00244CDA"/>
    <w:rsid w:val="002451C4"/>
    <w:rsid w:val="00245210"/>
    <w:rsid w:val="002463D0"/>
    <w:rsid w:val="00246617"/>
    <w:rsid w:val="00246869"/>
    <w:rsid w:val="00246944"/>
    <w:rsid w:val="00246AB3"/>
    <w:rsid w:val="00247A5F"/>
    <w:rsid w:val="00247DF0"/>
    <w:rsid w:val="00250170"/>
    <w:rsid w:val="00250D2F"/>
    <w:rsid w:val="00250D7A"/>
    <w:rsid w:val="0025109A"/>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54D"/>
    <w:rsid w:val="00254828"/>
    <w:rsid w:val="0025490E"/>
    <w:rsid w:val="0025491D"/>
    <w:rsid w:val="00254B13"/>
    <w:rsid w:val="00255C39"/>
    <w:rsid w:val="00256313"/>
    <w:rsid w:val="0025684A"/>
    <w:rsid w:val="00256B05"/>
    <w:rsid w:val="00256FEC"/>
    <w:rsid w:val="00257055"/>
    <w:rsid w:val="002575FB"/>
    <w:rsid w:val="0025764B"/>
    <w:rsid w:val="00257EF7"/>
    <w:rsid w:val="00257F6E"/>
    <w:rsid w:val="00260094"/>
    <w:rsid w:val="00261211"/>
    <w:rsid w:val="002614C2"/>
    <w:rsid w:val="002615E2"/>
    <w:rsid w:val="002616F4"/>
    <w:rsid w:val="00261DCD"/>
    <w:rsid w:val="00261E14"/>
    <w:rsid w:val="00261EE8"/>
    <w:rsid w:val="002621F0"/>
    <w:rsid w:val="0026269E"/>
    <w:rsid w:val="00262DC8"/>
    <w:rsid w:val="00262E2D"/>
    <w:rsid w:val="00262ECD"/>
    <w:rsid w:val="00262F79"/>
    <w:rsid w:val="00263147"/>
    <w:rsid w:val="0026315D"/>
    <w:rsid w:val="00263355"/>
    <w:rsid w:val="00263623"/>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507"/>
    <w:rsid w:val="002737F1"/>
    <w:rsid w:val="00273900"/>
    <w:rsid w:val="00273C4B"/>
    <w:rsid w:val="00274627"/>
    <w:rsid w:val="00274788"/>
    <w:rsid w:val="00274A10"/>
    <w:rsid w:val="00274B95"/>
    <w:rsid w:val="00274D70"/>
    <w:rsid w:val="00275241"/>
    <w:rsid w:val="00275F47"/>
    <w:rsid w:val="00276045"/>
    <w:rsid w:val="00276D62"/>
    <w:rsid w:val="00276DFF"/>
    <w:rsid w:val="0027724B"/>
    <w:rsid w:val="00277270"/>
    <w:rsid w:val="00277A3E"/>
    <w:rsid w:val="002801D5"/>
    <w:rsid w:val="0028042C"/>
    <w:rsid w:val="00280476"/>
    <w:rsid w:val="00280B7E"/>
    <w:rsid w:val="002811F3"/>
    <w:rsid w:val="00281283"/>
    <w:rsid w:val="00281355"/>
    <w:rsid w:val="002815DE"/>
    <w:rsid w:val="00281756"/>
    <w:rsid w:val="002828EF"/>
    <w:rsid w:val="00282999"/>
    <w:rsid w:val="002829E5"/>
    <w:rsid w:val="00282A7C"/>
    <w:rsid w:val="00282AF5"/>
    <w:rsid w:val="0028387F"/>
    <w:rsid w:val="002845C3"/>
    <w:rsid w:val="00284A55"/>
    <w:rsid w:val="00284B9F"/>
    <w:rsid w:val="00284C5C"/>
    <w:rsid w:val="00285621"/>
    <w:rsid w:val="00285C7A"/>
    <w:rsid w:val="002860A4"/>
    <w:rsid w:val="00286516"/>
    <w:rsid w:val="002872DF"/>
    <w:rsid w:val="00287644"/>
    <w:rsid w:val="002876BF"/>
    <w:rsid w:val="00287FB3"/>
    <w:rsid w:val="00290010"/>
    <w:rsid w:val="0029055B"/>
    <w:rsid w:val="00290B6A"/>
    <w:rsid w:val="0029112B"/>
    <w:rsid w:val="00291352"/>
    <w:rsid w:val="00291434"/>
    <w:rsid w:val="00291543"/>
    <w:rsid w:val="0029189C"/>
    <w:rsid w:val="00291968"/>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640B"/>
    <w:rsid w:val="002A6473"/>
    <w:rsid w:val="002A66EA"/>
    <w:rsid w:val="002A6AA5"/>
    <w:rsid w:val="002A6CC1"/>
    <w:rsid w:val="002A7514"/>
    <w:rsid w:val="002A7680"/>
    <w:rsid w:val="002A7C13"/>
    <w:rsid w:val="002A7E40"/>
    <w:rsid w:val="002B00AF"/>
    <w:rsid w:val="002B033B"/>
    <w:rsid w:val="002B0BF5"/>
    <w:rsid w:val="002B0F5A"/>
    <w:rsid w:val="002B13AC"/>
    <w:rsid w:val="002B1695"/>
    <w:rsid w:val="002B16BF"/>
    <w:rsid w:val="002B1948"/>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7CA"/>
    <w:rsid w:val="002C0887"/>
    <w:rsid w:val="002C0941"/>
    <w:rsid w:val="002C0962"/>
    <w:rsid w:val="002C0990"/>
    <w:rsid w:val="002C102E"/>
    <w:rsid w:val="002C10ED"/>
    <w:rsid w:val="002C1138"/>
    <w:rsid w:val="002C15B4"/>
    <w:rsid w:val="002C19B3"/>
    <w:rsid w:val="002C1C6B"/>
    <w:rsid w:val="002C1E7D"/>
    <w:rsid w:val="002C2041"/>
    <w:rsid w:val="002C2349"/>
    <w:rsid w:val="002C278B"/>
    <w:rsid w:val="002C2EBE"/>
    <w:rsid w:val="002C30E1"/>
    <w:rsid w:val="002C321B"/>
    <w:rsid w:val="002C329C"/>
    <w:rsid w:val="002C3B54"/>
    <w:rsid w:val="002C3E5A"/>
    <w:rsid w:val="002C434C"/>
    <w:rsid w:val="002C4490"/>
    <w:rsid w:val="002C47EF"/>
    <w:rsid w:val="002C4A0A"/>
    <w:rsid w:val="002C50D3"/>
    <w:rsid w:val="002C54A0"/>
    <w:rsid w:val="002C58BF"/>
    <w:rsid w:val="002C58CA"/>
    <w:rsid w:val="002C6077"/>
    <w:rsid w:val="002C60F7"/>
    <w:rsid w:val="002C6903"/>
    <w:rsid w:val="002C6B21"/>
    <w:rsid w:val="002C705C"/>
    <w:rsid w:val="002C72DE"/>
    <w:rsid w:val="002C7CBE"/>
    <w:rsid w:val="002C7FB4"/>
    <w:rsid w:val="002C7FE3"/>
    <w:rsid w:val="002D0530"/>
    <w:rsid w:val="002D0AA0"/>
    <w:rsid w:val="002D0AD3"/>
    <w:rsid w:val="002D0C01"/>
    <w:rsid w:val="002D0E57"/>
    <w:rsid w:val="002D1421"/>
    <w:rsid w:val="002D2261"/>
    <w:rsid w:val="002D230A"/>
    <w:rsid w:val="002D25FB"/>
    <w:rsid w:val="002D2B08"/>
    <w:rsid w:val="002D3216"/>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C00"/>
    <w:rsid w:val="002E0D1B"/>
    <w:rsid w:val="002E13F9"/>
    <w:rsid w:val="002E1E31"/>
    <w:rsid w:val="002E2217"/>
    <w:rsid w:val="002E28EB"/>
    <w:rsid w:val="002E290F"/>
    <w:rsid w:val="002E29A7"/>
    <w:rsid w:val="002E3A3F"/>
    <w:rsid w:val="002E3A6C"/>
    <w:rsid w:val="002E4209"/>
    <w:rsid w:val="002E4343"/>
    <w:rsid w:val="002E46E6"/>
    <w:rsid w:val="002E46EB"/>
    <w:rsid w:val="002E4A6C"/>
    <w:rsid w:val="002E4DA4"/>
    <w:rsid w:val="002E4FDA"/>
    <w:rsid w:val="002E5204"/>
    <w:rsid w:val="002E52DC"/>
    <w:rsid w:val="002E547F"/>
    <w:rsid w:val="002E5CF5"/>
    <w:rsid w:val="002E62E1"/>
    <w:rsid w:val="002E7018"/>
    <w:rsid w:val="002E76D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C26"/>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A06"/>
    <w:rsid w:val="00304A14"/>
    <w:rsid w:val="00304EFD"/>
    <w:rsid w:val="0030522A"/>
    <w:rsid w:val="003053A2"/>
    <w:rsid w:val="00305493"/>
    <w:rsid w:val="0030574F"/>
    <w:rsid w:val="00306202"/>
    <w:rsid w:val="003067AB"/>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501D"/>
    <w:rsid w:val="00315BE0"/>
    <w:rsid w:val="00315D82"/>
    <w:rsid w:val="00315DAC"/>
    <w:rsid w:val="00316777"/>
    <w:rsid w:val="003167E8"/>
    <w:rsid w:val="0031716E"/>
    <w:rsid w:val="00317B53"/>
    <w:rsid w:val="00320255"/>
    <w:rsid w:val="003203F8"/>
    <w:rsid w:val="00320907"/>
    <w:rsid w:val="00320CF6"/>
    <w:rsid w:val="0032146D"/>
    <w:rsid w:val="00321492"/>
    <w:rsid w:val="003216F3"/>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709E"/>
    <w:rsid w:val="00327922"/>
    <w:rsid w:val="00327BF2"/>
    <w:rsid w:val="00327E5C"/>
    <w:rsid w:val="00327EB0"/>
    <w:rsid w:val="003302F4"/>
    <w:rsid w:val="003307C3"/>
    <w:rsid w:val="003308CE"/>
    <w:rsid w:val="00331172"/>
    <w:rsid w:val="00331502"/>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0EA"/>
    <w:rsid w:val="00336D7F"/>
    <w:rsid w:val="00336F5F"/>
    <w:rsid w:val="00337310"/>
    <w:rsid w:val="00337645"/>
    <w:rsid w:val="0033774F"/>
    <w:rsid w:val="00337895"/>
    <w:rsid w:val="00337969"/>
    <w:rsid w:val="003379EB"/>
    <w:rsid w:val="00337E84"/>
    <w:rsid w:val="00337EC1"/>
    <w:rsid w:val="00337FBE"/>
    <w:rsid w:val="00337FEA"/>
    <w:rsid w:val="00340061"/>
    <w:rsid w:val="00340433"/>
    <w:rsid w:val="003404B1"/>
    <w:rsid w:val="003406E5"/>
    <w:rsid w:val="003407CC"/>
    <w:rsid w:val="003407F8"/>
    <w:rsid w:val="00340BFB"/>
    <w:rsid w:val="003410D1"/>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1AF4"/>
    <w:rsid w:val="00351FCF"/>
    <w:rsid w:val="0035257A"/>
    <w:rsid w:val="003525D7"/>
    <w:rsid w:val="003529E4"/>
    <w:rsid w:val="00352A3F"/>
    <w:rsid w:val="00352B86"/>
    <w:rsid w:val="00352B8D"/>
    <w:rsid w:val="00352E72"/>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BF7"/>
    <w:rsid w:val="00371C41"/>
    <w:rsid w:val="00371E13"/>
    <w:rsid w:val="0037208D"/>
    <w:rsid w:val="0037255F"/>
    <w:rsid w:val="00372575"/>
    <w:rsid w:val="0037275D"/>
    <w:rsid w:val="00372C2A"/>
    <w:rsid w:val="003731CF"/>
    <w:rsid w:val="003737BE"/>
    <w:rsid w:val="00373A2F"/>
    <w:rsid w:val="00373B49"/>
    <w:rsid w:val="00373D71"/>
    <w:rsid w:val="00374393"/>
    <w:rsid w:val="00374835"/>
    <w:rsid w:val="003750B2"/>
    <w:rsid w:val="00375349"/>
    <w:rsid w:val="003758B0"/>
    <w:rsid w:val="00375DA8"/>
    <w:rsid w:val="00375DE3"/>
    <w:rsid w:val="00376101"/>
    <w:rsid w:val="00376DFD"/>
    <w:rsid w:val="00376F28"/>
    <w:rsid w:val="00376FAC"/>
    <w:rsid w:val="00377378"/>
    <w:rsid w:val="00377B6F"/>
    <w:rsid w:val="00377EB0"/>
    <w:rsid w:val="00377FA2"/>
    <w:rsid w:val="0038010C"/>
    <w:rsid w:val="00380389"/>
    <w:rsid w:val="00380856"/>
    <w:rsid w:val="00381138"/>
    <w:rsid w:val="0038131E"/>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2543"/>
    <w:rsid w:val="003A2841"/>
    <w:rsid w:val="003A3640"/>
    <w:rsid w:val="003A36A8"/>
    <w:rsid w:val="003A40F2"/>
    <w:rsid w:val="003A4154"/>
    <w:rsid w:val="003A43E3"/>
    <w:rsid w:val="003A48A3"/>
    <w:rsid w:val="003A4B95"/>
    <w:rsid w:val="003A4ECF"/>
    <w:rsid w:val="003A4FD1"/>
    <w:rsid w:val="003A53CD"/>
    <w:rsid w:val="003A56B1"/>
    <w:rsid w:val="003A56BD"/>
    <w:rsid w:val="003A59D5"/>
    <w:rsid w:val="003A606D"/>
    <w:rsid w:val="003A6173"/>
    <w:rsid w:val="003A65C0"/>
    <w:rsid w:val="003A772D"/>
    <w:rsid w:val="003A79E6"/>
    <w:rsid w:val="003A7E73"/>
    <w:rsid w:val="003B070D"/>
    <w:rsid w:val="003B0742"/>
    <w:rsid w:val="003B0C8C"/>
    <w:rsid w:val="003B1080"/>
    <w:rsid w:val="003B141D"/>
    <w:rsid w:val="003B156B"/>
    <w:rsid w:val="003B16B1"/>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B34"/>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1C1"/>
    <w:rsid w:val="003C567A"/>
    <w:rsid w:val="003C5A21"/>
    <w:rsid w:val="003C5E02"/>
    <w:rsid w:val="003C66C3"/>
    <w:rsid w:val="003C6A55"/>
    <w:rsid w:val="003C6B8A"/>
    <w:rsid w:val="003C6E3B"/>
    <w:rsid w:val="003C704B"/>
    <w:rsid w:val="003C7250"/>
    <w:rsid w:val="003C7562"/>
    <w:rsid w:val="003C7FD5"/>
    <w:rsid w:val="003D0230"/>
    <w:rsid w:val="003D0895"/>
    <w:rsid w:val="003D0FA8"/>
    <w:rsid w:val="003D1D1B"/>
    <w:rsid w:val="003D1EB1"/>
    <w:rsid w:val="003D1EB3"/>
    <w:rsid w:val="003D21F8"/>
    <w:rsid w:val="003D29A5"/>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E5"/>
    <w:rsid w:val="003D746D"/>
    <w:rsid w:val="003D7491"/>
    <w:rsid w:val="003D779B"/>
    <w:rsid w:val="003D79F1"/>
    <w:rsid w:val="003D7A58"/>
    <w:rsid w:val="003D7EB6"/>
    <w:rsid w:val="003E081A"/>
    <w:rsid w:val="003E0AD8"/>
    <w:rsid w:val="003E0ADC"/>
    <w:rsid w:val="003E0E85"/>
    <w:rsid w:val="003E1D9D"/>
    <w:rsid w:val="003E221F"/>
    <w:rsid w:val="003E280B"/>
    <w:rsid w:val="003E2BAF"/>
    <w:rsid w:val="003E2F38"/>
    <w:rsid w:val="003E2F85"/>
    <w:rsid w:val="003E2FAA"/>
    <w:rsid w:val="003E3143"/>
    <w:rsid w:val="003E35B8"/>
    <w:rsid w:val="003E36C7"/>
    <w:rsid w:val="003E3B16"/>
    <w:rsid w:val="003E3CE1"/>
    <w:rsid w:val="003E3E5C"/>
    <w:rsid w:val="003E3F0A"/>
    <w:rsid w:val="003E423A"/>
    <w:rsid w:val="003E490B"/>
    <w:rsid w:val="003E4A91"/>
    <w:rsid w:val="003E4D54"/>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3BD"/>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489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2B"/>
    <w:rsid w:val="004116B5"/>
    <w:rsid w:val="0041183D"/>
    <w:rsid w:val="00411C50"/>
    <w:rsid w:val="0041226A"/>
    <w:rsid w:val="0041238A"/>
    <w:rsid w:val="00412562"/>
    <w:rsid w:val="004129E7"/>
    <w:rsid w:val="00413304"/>
    <w:rsid w:val="004138B0"/>
    <w:rsid w:val="00413AF9"/>
    <w:rsid w:val="0041408E"/>
    <w:rsid w:val="00414531"/>
    <w:rsid w:val="0041485A"/>
    <w:rsid w:val="00415602"/>
    <w:rsid w:val="00415701"/>
    <w:rsid w:val="004157FB"/>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3C77"/>
    <w:rsid w:val="00424197"/>
    <w:rsid w:val="004241F4"/>
    <w:rsid w:val="00424CE5"/>
    <w:rsid w:val="0042590E"/>
    <w:rsid w:val="00425926"/>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D3F"/>
    <w:rsid w:val="00432133"/>
    <w:rsid w:val="004326C3"/>
    <w:rsid w:val="004329F5"/>
    <w:rsid w:val="00432B38"/>
    <w:rsid w:val="00432BC2"/>
    <w:rsid w:val="00432BCE"/>
    <w:rsid w:val="00432D0C"/>
    <w:rsid w:val="004331DE"/>
    <w:rsid w:val="004333A4"/>
    <w:rsid w:val="00433909"/>
    <w:rsid w:val="004339AF"/>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98"/>
    <w:rsid w:val="004413E5"/>
    <w:rsid w:val="004413F7"/>
    <w:rsid w:val="00441C09"/>
    <w:rsid w:val="0044204C"/>
    <w:rsid w:val="00442489"/>
    <w:rsid w:val="00442D1B"/>
    <w:rsid w:val="004434D9"/>
    <w:rsid w:val="0044354C"/>
    <w:rsid w:val="00443DA3"/>
    <w:rsid w:val="00444283"/>
    <w:rsid w:val="0044460E"/>
    <w:rsid w:val="0044467C"/>
    <w:rsid w:val="004449F8"/>
    <w:rsid w:val="00444A06"/>
    <w:rsid w:val="00444A4E"/>
    <w:rsid w:val="00445606"/>
    <w:rsid w:val="004459BE"/>
    <w:rsid w:val="00445B43"/>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DE4"/>
    <w:rsid w:val="00452498"/>
    <w:rsid w:val="0045297E"/>
    <w:rsid w:val="004530D2"/>
    <w:rsid w:val="0045315C"/>
    <w:rsid w:val="00453D19"/>
    <w:rsid w:val="00454522"/>
    <w:rsid w:val="00454582"/>
    <w:rsid w:val="00454744"/>
    <w:rsid w:val="004555F2"/>
    <w:rsid w:val="00455AFC"/>
    <w:rsid w:val="00455B9C"/>
    <w:rsid w:val="0045611C"/>
    <w:rsid w:val="00456999"/>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57D7"/>
    <w:rsid w:val="00465D24"/>
    <w:rsid w:val="00465EF2"/>
    <w:rsid w:val="00466468"/>
    <w:rsid w:val="004667A9"/>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645"/>
    <w:rsid w:val="00477735"/>
    <w:rsid w:val="00477EE0"/>
    <w:rsid w:val="0048016F"/>
    <w:rsid w:val="004802DD"/>
    <w:rsid w:val="00480371"/>
    <w:rsid w:val="00480560"/>
    <w:rsid w:val="00480A2C"/>
    <w:rsid w:val="0048128D"/>
    <w:rsid w:val="0048140B"/>
    <w:rsid w:val="00481AC0"/>
    <w:rsid w:val="00481B60"/>
    <w:rsid w:val="00482303"/>
    <w:rsid w:val="00482CD9"/>
    <w:rsid w:val="004837D0"/>
    <w:rsid w:val="00483D35"/>
    <w:rsid w:val="004846B9"/>
    <w:rsid w:val="00484AEE"/>
    <w:rsid w:val="00484C9B"/>
    <w:rsid w:val="00484CC7"/>
    <w:rsid w:val="00484D88"/>
    <w:rsid w:val="00484DEC"/>
    <w:rsid w:val="004855B3"/>
    <w:rsid w:val="00485F78"/>
    <w:rsid w:val="0048666C"/>
    <w:rsid w:val="0048668F"/>
    <w:rsid w:val="00486C8E"/>
    <w:rsid w:val="00486E1F"/>
    <w:rsid w:val="004871A3"/>
    <w:rsid w:val="004871B4"/>
    <w:rsid w:val="00487224"/>
    <w:rsid w:val="004872B7"/>
    <w:rsid w:val="0049089F"/>
    <w:rsid w:val="00490A8E"/>
    <w:rsid w:val="00490F59"/>
    <w:rsid w:val="0049168C"/>
    <w:rsid w:val="00491BAA"/>
    <w:rsid w:val="00491BCF"/>
    <w:rsid w:val="004928AB"/>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6D"/>
    <w:rsid w:val="00495BAE"/>
    <w:rsid w:val="00495C92"/>
    <w:rsid w:val="004960E3"/>
    <w:rsid w:val="0049628D"/>
    <w:rsid w:val="0049631D"/>
    <w:rsid w:val="004964A3"/>
    <w:rsid w:val="004975D4"/>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3B02"/>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C7D97"/>
    <w:rsid w:val="004D053B"/>
    <w:rsid w:val="004D0961"/>
    <w:rsid w:val="004D0BBE"/>
    <w:rsid w:val="004D0BCD"/>
    <w:rsid w:val="004D1299"/>
    <w:rsid w:val="004D151C"/>
    <w:rsid w:val="004D1853"/>
    <w:rsid w:val="004D1FBB"/>
    <w:rsid w:val="004D21B7"/>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CF3"/>
    <w:rsid w:val="004D4D7D"/>
    <w:rsid w:val="004D59CF"/>
    <w:rsid w:val="004D5AFD"/>
    <w:rsid w:val="004D5EF6"/>
    <w:rsid w:val="004D6787"/>
    <w:rsid w:val="004D6A39"/>
    <w:rsid w:val="004D7258"/>
    <w:rsid w:val="004D738A"/>
    <w:rsid w:val="004E01C0"/>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3AD5"/>
    <w:rsid w:val="004E49C6"/>
    <w:rsid w:val="004E4BDD"/>
    <w:rsid w:val="004E4FDD"/>
    <w:rsid w:val="004E52AF"/>
    <w:rsid w:val="004E52D8"/>
    <w:rsid w:val="004E532C"/>
    <w:rsid w:val="004E54B9"/>
    <w:rsid w:val="004E5563"/>
    <w:rsid w:val="004E6A7A"/>
    <w:rsid w:val="004E6BC1"/>
    <w:rsid w:val="004E6BF8"/>
    <w:rsid w:val="004E7483"/>
    <w:rsid w:val="004E7EE3"/>
    <w:rsid w:val="004F00AF"/>
    <w:rsid w:val="004F0384"/>
    <w:rsid w:val="004F06EA"/>
    <w:rsid w:val="004F0A5E"/>
    <w:rsid w:val="004F0B9E"/>
    <w:rsid w:val="004F15BA"/>
    <w:rsid w:val="004F16B7"/>
    <w:rsid w:val="004F221F"/>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984"/>
    <w:rsid w:val="004F6D07"/>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CEF"/>
    <w:rsid w:val="0051434B"/>
    <w:rsid w:val="0051449C"/>
    <w:rsid w:val="00514A0C"/>
    <w:rsid w:val="00514CCC"/>
    <w:rsid w:val="00514E8E"/>
    <w:rsid w:val="00514EB8"/>
    <w:rsid w:val="00514F75"/>
    <w:rsid w:val="00514FE8"/>
    <w:rsid w:val="00515274"/>
    <w:rsid w:val="00515877"/>
    <w:rsid w:val="00516093"/>
    <w:rsid w:val="00516120"/>
    <w:rsid w:val="0051673C"/>
    <w:rsid w:val="005169BB"/>
    <w:rsid w:val="0051733D"/>
    <w:rsid w:val="0051787B"/>
    <w:rsid w:val="00517F5C"/>
    <w:rsid w:val="0052014E"/>
    <w:rsid w:val="0052064C"/>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211"/>
    <w:rsid w:val="00543988"/>
    <w:rsid w:val="00544064"/>
    <w:rsid w:val="00544241"/>
    <w:rsid w:val="0054462D"/>
    <w:rsid w:val="00544CBC"/>
    <w:rsid w:val="0054563A"/>
    <w:rsid w:val="00545BF0"/>
    <w:rsid w:val="00545F63"/>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96A"/>
    <w:rsid w:val="00557CC4"/>
    <w:rsid w:val="0056056C"/>
    <w:rsid w:val="0056070F"/>
    <w:rsid w:val="0056091E"/>
    <w:rsid w:val="00560B26"/>
    <w:rsid w:val="00560B9C"/>
    <w:rsid w:val="00560E52"/>
    <w:rsid w:val="00560E87"/>
    <w:rsid w:val="005610A9"/>
    <w:rsid w:val="00561330"/>
    <w:rsid w:val="005619E0"/>
    <w:rsid w:val="00561F12"/>
    <w:rsid w:val="005623F3"/>
    <w:rsid w:val="0056248E"/>
    <w:rsid w:val="00562D0B"/>
    <w:rsid w:val="00563484"/>
    <w:rsid w:val="0056385D"/>
    <w:rsid w:val="00563B43"/>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19"/>
    <w:rsid w:val="005704DC"/>
    <w:rsid w:val="00570B18"/>
    <w:rsid w:val="00570D8C"/>
    <w:rsid w:val="00571552"/>
    <w:rsid w:val="00572720"/>
    <w:rsid w:val="00572889"/>
    <w:rsid w:val="005729C6"/>
    <w:rsid w:val="00572AC6"/>
    <w:rsid w:val="005734D7"/>
    <w:rsid w:val="005736E9"/>
    <w:rsid w:val="0057407D"/>
    <w:rsid w:val="0057430E"/>
    <w:rsid w:val="0057491D"/>
    <w:rsid w:val="00574B39"/>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7A3"/>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9ED"/>
    <w:rsid w:val="005921F9"/>
    <w:rsid w:val="0059237B"/>
    <w:rsid w:val="005928FD"/>
    <w:rsid w:val="00592BF3"/>
    <w:rsid w:val="00592F41"/>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DD0"/>
    <w:rsid w:val="0059712B"/>
    <w:rsid w:val="005979F9"/>
    <w:rsid w:val="00597BFF"/>
    <w:rsid w:val="00597D10"/>
    <w:rsid w:val="00597F46"/>
    <w:rsid w:val="005A0007"/>
    <w:rsid w:val="005A0501"/>
    <w:rsid w:val="005A0692"/>
    <w:rsid w:val="005A083B"/>
    <w:rsid w:val="005A0958"/>
    <w:rsid w:val="005A0AEE"/>
    <w:rsid w:val="005A0B94"/>
    <w:rsid w:val="005A1346"/>
    <w:rsid w:val="005A14B9"/>
    <w:rsid w:val="005A173A"/>
    <w:rsid w:val="005A17B0"/>
    <w:rsid w:val="005A1981"/>
    <w:rsid w:val="005A1A2E"/>
    <w:rsid w:val="005A1B71"/>
    <w:rsid w:val="005A1C4A"/>
    <w:rsid w:val="005A2248"/>
    <w:rsid w:val="005A233F"/>
    <w:rsid w:val="005A24DF"/>
    <w:rsid w:val="005A2736"/>
    <w:rsid w:val="005A276A"/>
    <w:rsid w:val="005A276E"/>
    <w:rsid w:val="005A27F5"/>
    <w:rsid w:val="005A2DE3"/>
    <w:rsid w:val="005A2E29"/>
    <w:rsid w:val="005A2E6A"/>
    <w:rsid w:val="005A30FC"/>
    <w:rsid w:val="005A3160"/>
    <w:rsid w:val="005A354C"/>
    <w:rsid w:val="005A35DF"/>
    <w:rsid w:val="005A36C8"/>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017"/>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3E5F"/>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AF3"/>
    <w:rsid w:val="005C3B88"/>
    <w:rsid w:val="005C3DB7"/>
    <w:rsid w:val="005C3F7C"/>
    <w:rsid w:val="005C456E"/>
    <w:rsid w:val="005C47F7"/>
    <w:rsid w:val="005C4AC1"/>
    <w:rsid w:val="005C5238"/>
    <w:rsid w:val="005C5315"/>
    <w:rsid w:val="005C540D"/>
    <w:rsid w:val="005C55EF"/>
    <w:rsid w:val="005C5A44"/>
    <w:rsid w:val="005C5BBB"/>
    <w:rsid w:val="005C6614"/>
    <w:rsid w:val="005C6641"/>
    <w:rsid w:val="005C6AA0"/>
    <w:rsid w:val="005C6E06"/>
    <w:rsid w:val="005C7302"/>
    <w:rsid w:val="005C767C"/>
    <w:rsid w:val="005C7A22"/>
    <w:rsid w:val="005D005E"/>
    <w:rsid w:val="005D0086"/>
    <w:rsid w:val="005D0D7D"/>
    <w:rsid w:val="005D187F"/>
    <w:rsid w:val="005D1990"/>
    <w:rsid w:val="005D2682"/>
    <w:rsid w:val="005D2946"/>
    <w:rsid w:val="005D295E"/>
    <w:rsid w:val="005D2E95"/>
    <w:rsid w:val="005D334A"/>
    <w:rsid w:val="005D348D"/>
    <w:rsid w:val="005D383E"/>
    <w:rsid w:val="005D3B68"/>
    <w:rsid w:val="005D3D95"/>
    <w:rsid w:val="005D4A73"/>
    <w:rsid w:val="005D4AD7"/>
    <w:rsid w:val="005D4D13"/>
    <w:rsid w:val="005D4FDA"/>
    <w:rsid w:val="005D5526"/>
    <w:rsid w:val="005D5570"/>
    <w:rsid w:val="005D5CD3"/>
    <w:rsid w:val="005D6055"/>
    <w:rsid w:val="005D6102"/>
    <w:rsid w:val="005D6117"/>
    <w:rsid w:val="005D653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595B"/>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C0F"/>
    <w:rsid w:val="005F6D32"/>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2A89"/>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29E"/>
    <w:rsid w:val="006104F5"/>
    <w:rsid w:val="0061097A"/>
    <w:rsid w:val="006109CA"/>
    <w:rsid w:val="00610C31"/>
    <w:rsid w:val="00610F63"/>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5032"/>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AA3"/>
    <w:rsid w:val="00642E2E"/>
    <w:rsid w:val="00642F0B"/>
    <w:rsid w:val="006436FC"/>
    <w:rsid w:val="00643BBB"/>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22"/>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5F48"/>
    <w:rsid w:val="00655FB7"/>
    <w:rsid w:val="00655FFE"/>
    <w:rsid w:val="00656069"/>
    <w:rsid w:val="00656419"/>
    <w:rsid w:val="006564BD"/>
    <w:rsid w:val="00656916"/>
    <w:rsid w:val="00656BE7"/>
    <w:rsid w:val="00656D91"/>
    <w:rsid w:val="0065737E"/>
    <w:rsid w:val="0065746A"/>
    <w:rsid w:val="00657569"/>
    <w:rsid w:val="00657724"/>
    <w:rsid w:val="00657BCE"/>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1EE"/>
    <w:rsid w:val="0069130C"/>
    <w:rsid w:val="00691425"/>
    <w:rsid w:val="00691A40"/>
    <w:rsid w:val="00691B2F"/>
    <w:rsid w:val="00692540"/>
    <w:rsid w:val="006928DC"/>
    <w:rsid w:val="00693237"/>
    <w:rsid w:val="00693462"/>
    <w:rsid w:val="006938E5"/>
    <w:rsid w:val="00694309"/>
    <w:rsid w:val="006947F0"/>
    <w:rsid w:val="00694AAD"/>
    <w:rsid w:val="00694B48"/>
    <w:rsid w:val="00694DC0"/>
    <w:rsid w:val="00694E0B"/>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1849"/>
    <w:rsid w:val="006B2C4B"/>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0BB"/>
    <w:rsid w:val="006B6648"/>
    <w:rsid w:val="006B66F2"/>
    <w:rsid w:val="006B738B"/>
    <w:rsid w:val="006B790F"/>
    <w:rsid w:val="006B7F49"/>
    <w:rsid w:val="006C0940"/>
    <w:rsid w:val="006C0E8E"/>
    <w:rsid w:val="006C2224"/>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659"/>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C0"/>
    <w:rsid w:val="006E72A4"/>
    <w:rsid w:val="006E741B"/>
    <w:rsid w:val="006E7751"/>
    <w:rsid w:val="006E79F3"/>
    <w:rsid w:val="006E7C97"/>
    <w:rsid w:val="006E7D95"/>
    <w:rsid w:val="006E7DB1"/>
    <w:rsid w:val="006E7FD2"/>
    <w:rsid w:val="006F0446"/>
    <w:rsid w:val="006F0835"/>
    <w:rsid w:val="006F0AEA"/>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2BB"/>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5D0"/>
    <w:rsid w:val="007127D1"/>
    <w:rsid w:val="00712BBF"/>
    <w:rsid w:val="00712C5A"/>
    <w:rsid w:val="00713132"/>
    <w:rsid w:val="00713488"/>
    <w:rsid w:val="00713B26"/>
    <w:rsid w:val="00714A50"/>
    <w:rsid w:val="00714B85"/>
    <w:rsid w:val="00714F44"/>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731"/>
    <w:rsid w:val="007208A1"/>
    <w:rsid w:val="007208AB"/>
    <w:rsid w:val="007210D3"/>
    <w:rsid w:val="007216D1"/>
    <w:rsid w:val="0072182E"/>
    <w:rsid w:val="007221ED"/>
    <w:rsid w:val="007225C3"/>
    <w:rsid w:val="00722E44"/>
    <w:rsid w:val="007233F5"/>
    <w:rsid w:val="00723A92"/>
    <w:rsid w:val="00723CFD"/>
    <w:rsid w:val="00724362"/>
    <w:rsid w:val="007248DC"/>
    <w:rsid w:val="00724DF9"/>
    <w:rsid w:val="00724EE3"/>
    <w:rsid w:val="00724F0D"/>
    <w:rsid w:val="00724F3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22"/>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332F"/>
    <w:rsid w:val="00743594"/>
    <w:rsid w:val="0074378B"/>
    <w:rsid w:val="00743970"/>
    <w:rsid w:val="00743ECF"/>
    <w:rsid w:val="00743FDC"/>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B1"/>
    <w:rsid w:val="0074724A"/>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A45"/>
    <w:rsid w:val="00756D5B"/>
    <w:rsid w:val="00756D83"/>
    <w:rsid w:val="00757321"/>
    <w:rsid w:val="00757602"/>
    <w:rsid w:val="00757962"/>
    <w:rsid w:val="00757A4E"/>
    <w:rsid w:val="00757B66"/>
    <w:rsid w:val="00757FE9"/>
    <w:rsid w:val="00757FF8"/>
    <w:rsid w:val="00760CD4"/>
    <w:rsid w:val="00760FB1"/>
    <w:rsid w:val="00761DE6"/>
    <w:rsid w:val="007621F4"/>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6670"/>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32"/>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6CD"/>
    <w:rsid w:val="00786B14"/>
    <w:rsid w:val="007872CC"/>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03E"/>
    <w:rsid w:val="007A01F0"/>
    <w:rsid w:val="007A0B15"/>
    <w:rsid w:val="007A0CE3"/>
    <w:rsid w:val="007A0E12"/>
    <w:rsid w:val="007A0E13"/>
    <w:rsid w:val="007A1017"/>
    <w:rsid w:val="007A1A14"/>
    <w:rsid w:val="007A20B6"/>
    <w:rsid w:val="007A299C"/>
    <w:rsid w:val="007A2C2C"/>
    <w:rsid w:val="007A2EC8"/>
    <w:rsid w:val="007A320A"/>
    <w:rsid w:val="007A34DF"/>
    <w:rsid w:val="007A3614"/>
    <w:rsid w:val="007A3C94"/>
    <w:rsid w:val="007A3DA8"/>
    <w:rsid w:val="007A3DDA"/>
    <w:rsid w:val="007A3E61"/>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28D"/>
    <w:rsid w:val="007B546F"/>
    <w:rsid w:val="007B5810"/>
    <w:rsid w:val="007B68FD"/>
    <w:rsid w:val="007B6BA6"/>
    <w:rsid w:val="007B6F00"/>
    <w:rsid w:val="007B6FA2"/>
    <w:rsid w:val="007B787C"/>
    <w:rsid w:val="007B795B"/>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0AB"/>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C89"/>
    <w:rsid w:val="007E5F4C"/>
    <w:rsid w:val="007E6015"/>
    <w:rsid w:val="007E60D2"/>
    <w:rsid w:val="007E679D"/>
    <w:rsid w:val="007E6840"/>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7D6"/>
    <w:rsid w:val="007F4A82"/>
    <w:rsid w:val="007F4B5B"/>
    <w:rsid w:val="007F4D61"/>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17B6"/>
    <w:rsid w:val="008020EF"/>
    <w:rsid w:val="0080235B"/>
    <w:rsid w:val="0080379F"/>
    <w:rsid w:val="00803B36"/>
    <w:rsid w:val="00803D89"/>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5192"/>
    <w:rsid w:val="008159B9"/>
    <w:rsid w:val="008159BB"/>
    <w:rsid w:val="00815E46"/>
    <w:rsid w:val="00816132"/>
    <w:rsid w:val="008164A6"/>
    <w:rsid w:val="00816FF6"/>
    <w:rsid w:val="008175E2"/>
    <w:rsid w:val="00817685"/>
    <w:rsid w:val="00817720"/>
    <w:rsid w:val="0081778D"/>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DC9"/>
    <w:rsid w:val="00831241"/>
    <w:rsid w:val="008313E3"/>
    <w:rsid w:val="00831EA7"/>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DAB"/>
    <w:rsid w:val="00835EDA"/>
    <w:rsid w:val="00835FBA"/>
    <w:rsid w:val="00836096"/>
    <w:rsid w:val="008364F3"/>
    <w:rsid w:val="0083703B"/>
    <w:rsid w:val="00837142"/>
    <w:rsid w:val="00837957"/>
    <w:rsid w:val="008379DB"/>
    <w:rsid w:val="00837AE5"/>
    <w:rsid w:val="00840CF5"/>
    <w:rsid w:val="00840D35"/>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89"/>
    <w:rsid w:val="008471C9"/>
    <w:rsid w:val="00847567"/>
    <w:rsid w:val="00847832"/>
    <w:rsid w:val="00847A1F"/>
    <w:rsid w:val="00850014"/>
    <w:rsid w:val="00850474"/>
    <w:rsid w:val="00850641"/>
    <w:rsid w:val="00850B20"/>
    <w:rsid w:val="00851246"/>
    <w:rsid w:val="008512A1"/>
    <w:rsid w:val="00851348"/>
    <w:rsid w:val="008519F7"/>
    <w:rsid w:val="00851A14"/>
    <w:rsid w:val="00852206"/>
    <w:rsid w:val="00852B56"/>
    <w:rsid w:val="008536D1"/>
    <w:rsid w:val="00853BFE"/>
    <w:rsid w:val="0085405C"/>
    <w:rsid w:val="008541E7"/>
    <w:rsid w:val="00854627"/>
    <w:rsid w:val="008548A6"/>
    <w:rsid w:val="008549E7"/>
    <w:rsid w:val="00854A66"/>
    <w:rsid w:val="00854A70"/>
    <w:rsid w:val="00854C1F"/>
    <w:rsid w:val="00854DBF"/>
    <w:rsid w:val="0085572B"/>
    <w:rsid w:val="00855962"/>
    <w:rsid w:val="00855B5C"/>
    <w:rsid w:val="00855FC9"/>
    <w:rsid w:val="00856002"/>
    <w:rsid w:val="0085604B"/>
    <w:rsid w:val="00856108"/>
    <w:rsid w:val="0085635D"/>
    <w:rsid w:val="0085676C"/>
    <w:rsid w:val="0085697D"/>
    <w:rsid w:val="00857B60"/>
    <w:rsid w:val="00857BA6"/>
    <w:rsid w:val="00857D02"/>
    <w:rsid w:val="00857E65"/>
    <w:rsid w:val="008605C5"/>
    <w:rsid w:val="0086075F"/>
    <w:rsid w:val="008608B8"/>
    <w:rsid w:val="00860A5F"/>
    <w:rsid w:val="00860B90"/>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88"/>
    <w:rsid w:val="00865128"/>
    <w:rsid w:val="0086515E"/>
    <w:rsid w:val="008653D0"/>
    <w:rsid w:val="0086639A"/>
    <w:rsid w:val="00866A4B"/>
    <w:rsid w:val="008671FF"/>
    <w:rsid w:val="00867491"/>
    <w:rsid w:val="00867BBC"/>
    <w:rsid w:val="00867BD8"/>
    <w:rsid w:val="00867C69"/>
    <w:rsid w:val="008703FC"/>
    <w:rsid w:val="0087098E"/>
    <w:rsid w:val="0087109B"/>
    <w:rsid w:val="008712DE"/>
    <w:rsid w:val="008715E6"/>
    <w:rsid w:val="00871AD6"/>
    <w:rsid w:val="00871FEA"/>
    <w:rsid w:val="008724C4"/>
    <w:rsid w:val="0087285C"/>
    <w:rsid w:val="0087298D"/>
    <w:rsid w:val="008730D2"/>
    <w:rsid w:val="0087322A"/>
    <w:rsid w:val="00873BE9"/>
    <w:rsid w:val="00873D5A"/>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566"/>
    <w:rsid w:val="0088072F"/>
    <w:rsid w:val="00880748"/>
    <w:rsid w:val="00880D73"/>
    <w:rsid w:val="008811F4"/>
    <w:rsid w:val="0088150B"/>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744"/>
    <w:rsid w:val="008A3AFD"/>
    <w:rsid w:val="008A3B38"/>
    <w:rsid w:val="008A3B92"/>
    <w:rsid w:val="008A3E29"/>
    <w:rsid w:val="008A3EAE"/>
    <w:rsid w:val="008A3F24"/>
    <w:rsid w:val="008A40CA"/>
    <w:rsid w:val="008A46F4"/>
    <w:rsid w:val="008A4DCA"/>
    <w:rsid w:val="008A50FD"/>
    <w:rsid w:val="008A5259"/>
    <w:rsid w:val="008A53B5"/>
    <w:rsid w:val="008A5F62"/>
    <w:rsid w:val="008A60E9"/>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19F3"/>
    <w:rsid w:val="008B22C9"/>
    <w:rsid w:val="008B24B5"/>
    <w:rsid w:val="008B285C"/>
    <w:rsid w:val="008B2B05"/>
    <w:rsid w:val="008B2B7B"/>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B7897"/>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6F7"/>
    <w:rsid w:val="008C5839"/>
    <w:rsid w:val="008C5CAA"/>
    <w:rsid w:val="008C5D7E"/>
    <w:rsid w:val="008C5F84"/>
    <w:rsid w:val="008C6174"/>
    <w:rsid w:val="008C621F"/>
    <w:rsid w:val="008C6DB5"/>
    <w:rsid w:val="008C7164"/>
    <w:rsid w:val="008C7171"/>
    <w:rsid w:val="008C7403"/>
    <w:rsid w:val="008C74DB"/>
    <w:rsid w:val="008C7D10"/>
    <w:rsid w:val="008C7DD6"/>
    <w:rsid w:val="008D01D3"/>
    <w:rsid w:val="008D0A60"/>
    <w:rsid w:val="008D0B3B"/>
    <w:rsid w:val="008D0E6D"/>
    <w:rsid w:val="008D1A36"/>
    <w:rsid w:val="008D1A72"/>
    <w:rsid w:val="008D1D6A"/>
    <w:rsid w:val="008D203B"/>
    <w:rsid w:val="008D2354"/>
    <w:rsid w:val="008D28BD"/>
    <w:rsid w:val="008D2EE6"/>
    <w:rsid w:val="008D2EFF"/>
    <w:rsid w:val="008D2F52"/>
    <w:rsid w:val="008D3914"/>
    <w:rsid w:val="008D3D9C"/>
    <w:rsid w:val="008D45DD"/>
    <w:rsid w:val="008D5323"/>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8AE"/>
    <w:rsid w:val="00902963"/>
    <w:rsid w:val="0090297A"/>
    <w:rsid w:val="00902D2C"/>
    <w:rsid w:val="00902F09"/>
    <w:rsid w:val="00903068"/>
    <w:rsid w:val="009031F6"/>
    <w:rsid w:val="00903251"/>
    <w:rsid w:val="0090337B"/>
    <w:rsid w:val="009038E6"/>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4E1"/>
    <w:rsid w:val="009136DD"/>
    <w:rsid w:val="009137AC"/>
    <w:rsid w:val="00913C5F"/>
    <w:rsid w:val="00913E83"/>
    <w:rsid w:val="009141E4"/>
    <w:rsid w:val="0091477F"/>
    <w:rsid w:val="00914A3B"/>
    <w:rsid w:val="00915011"/>
    <w:rsid w:val="0091557D"/>
    <w:rsid w:val="009158E9"/>
    <w:rsid w:val="009161D2"/>
    <w:rsid w:val="00916347"/>
    <w:rsid w:val="009170A4"/>
    <w:rsid w:val="009176C5"/>
    <w:rsid w:val="00917C56"/>
    <w:rsid w:val="009200B6"/>
    <w:rsid w:val="009201E0"/>
    <w:rsid w:val="0092040A"/>
    <w:rsid w:val="00920E12"/>
    <w:rsid w:val="00920E93"/>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B2B"/>
    <w:rsid w:val="00935D04"/>
    <w:rsid w:val="00935E29"/>
    <w:rsid w:val="00935EB4"/>
    <w:rsid w:val="00935F7F"/>
    <w:rsid w:val="0093656D"/>
    <w:rsid w:val="009366B6"/>
    <w:rsid w:val="00936838"/>
    <w:rsid w:val="00936EA9"/>
    <w:rsid w:val="0093764E"/>
    <w:rsid w:val="009379DB"/>
    <w:rsid w:val="0094017A"/>
    <w:rsid w:val="0094056A"/>
    <w:rsid w:val="00940D42"/>
    <w:rsid w:val="00940F8E"/>
    <w:rsid w:val="009410F3"/>
    <w:rsid w:val="009415FE"/>
    <w:rsid w:val="0094171F"/>
    <w:rsid w:val="009421AA"/>
    <w:rsid w:val="00942C74"/>
    <w:rsid w:val="00943011"/>
    <w:rsid w:val="0094311A"/>
    <w:rsid w:val="0094326D"/>
    <w:rsid w:val="009432A0"/>
    <w:rsid w:val="0094384B"/>
    <w:rsid w:val="00944488"/>
    <w:rsid w:val="00944C66"/>
    <w:rsid w:val="00944FA6"/>
    <w:rsid w:val="00945969"/>
    <w:rsid w:val="00945D0A"/>
    <w:rsid w:val="00945E6A"/>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345"/>
    <w:rsid w:val="00967451"/>
    <w:rsid w:val="009675BE"/>
    <w:rsid w:val="00967815"/>
    <w:rsid w:val="009678BB"/>
    <w:rsid w:val="00967A47"/>
    <w:rsid w:val="0097006F"/>
    <w:rsid w:val="00970699"/>
    <w:rsid w:val="009709A2"/>
    <w:rsid w:val="00970B7E"/>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FCB"/>
    <w:rsid w:val="00974FE1"/>
    <w:rsid w:val="009756A1"/>
    <w:rsid w:val="00975946"/>
    <w:rsid w:val="00975BCF"/>
    <w:rsid w:val="00975C81"/>
    <w:rsid w:val="009763B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E4"/>
    <w:rsid w:val="00987840"/>
    <w:rsid w:val="00987889"/>
    <w:rsid w:val="00987C57"/>
    <w:rsid w:val="0099009B"/>
    <w:rsid w:val="009900DC"/>
    <w:rsid w:val="00990195"/>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A87"/>
    <w:rsid w:val="009A0E25"/>
    <w:rsid w:val="009A117B"/>
    <w:rsid w:val="009A13BE"/>
    <w:rsid w:val="009A14D9"/>
    <w:rsid w:val="009A1B64"/>
    <w:rsid w:val="009A2699"/>
    <w:rsid w:val="009A2965"/>
    <w:rsid w:val="009A2AC0"/>
    <w:rsid w:val="009A3182"/>
    <w:rsid w:val="009A3285"/>
    <w:rsid w:val="009A3555"/>
    <w:rsid w:val="009A35A7"/>
    <w:rsid w:val="009A362F"/>
    <w:rsid w:val="009A3BEB"/>
    <w:rsid w:val="009A3C5E"/>
    <w:rsid w:val="009A3C6C"/>
    <w:rsid w:val="009A3E4E"/>
    <w:rsid w:val="009A3FBC"/>
    <w:rsid w:val="009A41F0"/>
    <w:rsid w:val="009A4419"/>
    <w:rsid w:val="009A4AF8"/>
    <w:rsid w:val="009A4FF9"/>
    <w:rsid w:val="009A5732"/>
    <w:rsid w:val="009A5DAD"/>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A9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0C0"/>
    <w:rsid w:val="009C21CC"/>
    <w:rsid w:val="009C22B4"/>
    <w:rsid w:val="009C24FA"/>
    <w:rsid w:val="009C257C"/>
    <w:rsid w:val="009C2665"/>
    <w:rsid w:val="009C32C6"/>
    <w:rsid w:val="009C38F4"/>
    <w:rsid w:val="009C3C5B"/>
    <w:rsid w:val="009C4047"/>
    <w:rsid w:val="009C44C7"/>
    <w:rsid w:val="009C4901"/>
    <w:rsid w:val="009C4A9F"/>
    <w:rsid w:val="009C4C25"/>
    <w:rsid w:val="009C4E20"/>
    <w:rsid w:val="009C4E33"/>
    <w:rsid w:val="009C521B"/>
    <w:rsid w:val="009C5872"/>
    <w:rsid w:val="009C5F31"/>
    <w:rsid w:val="009C646D"/>
    <w:rsid w:val="009C66C8"/>
    <w:rsid w:val="009C675D"/>
    <w:rsid w:val="009C7737"/>
    <w:rsid w:val="009C7E11"/>
    <w:rsid w:val="009D0A9D"/>
    <w:rsid w:val="009D0E15"/>
    <w:rsid w:val="009D0F82"/>
    <w:rsid w:val="009D1933"/>
    <w:rsid w:val="009D1D53"/>
    <w:rsid w:val="009D2325"/>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0E57"/>
    <w:rsid w:val="009E1295"/>
    <w:rsid w:val="009E1800"/>
    <w:rsid w:val="009E1908"/>
    <w:rsid w:val="009E19CE"/>
    <w:rsid w:val="009E1D96"/>
    <w:rsid w:val="009E31BC"/>
    <w:rsid w:val="009E3651"/>
    <w:rsid w:val="009E37BC"/>
    <w:rsid w:val="009E3BEC"/>
    <w:rsid w:val="009E3E4E"/>
    <w:rsid w:val="009E411A"/>
    <w:rsid w:val="009E4B79"/>
    <w:rsid w:val="009E4DDF"/>
    <w:rsid w:val="009E4FC2"/>
    <w:rsid w:val="009E5216"/>
    <w:rsid w:val="009E53B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862"/>
    <w:rsid w:val="00A03C02"/>
    <w:rsid w:val="00A03D98"/>
    <w:rsid w:val="00A03DA3"/>
    <w:rsid w:val="00A03F1F"/>
    <w:rsid w:val="00A044C5"/>
    <w:rsid w:val="00A045FA"/>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8CF"/>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3645"/>
    <w:rsid w:val="00A2434D"/>
    <w:rsid w:val="00A24C24"/>
    <w:rsid w:val="00A24E18"/>
    <w:rsid w:val="00A252C9"/>
    <w:rsid w:val="00A2568D"/>
    <w:rsid w:val="00A25A6F"/>
    <w:rsid w:val="00A25E5E"/>
    <w:rsid w:val="00A2614E"/>
    <w:rsid w:val="00A263FA"/>
    <w:rsid w:val="00A266C8"/>
    <w:rsid w:val="00A26A03"/>
    <w:rsid w:val="00A26FAE"/>
    <w:rsid w:val="00A27A1B"/>
    <w:rsid w:val="00A30519"/>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06"/>
    <w:rsid w:val="00A46A3D"/>
    <w:rsid w:val="00A46AE5"/>
    <w:rsid w:val="00A46CBB"/>
    <w:rsid w:val="00A47639"/>
    <w:rsid w:val="00A4771E"/>
    <w:rsid w:val="00A477DD"/>
    <w:rsid w:val="00A47D79"/>
    <w:rsid w:val="00A47FEC"/>
    <w:rsid w:val="00A5025A"/>
    <w:rsid w:val="00A50710"/>
    <w:rsid w:val="00A50A46"/>
    <w:rsid w:val="00A5116F"/>
    <w:rsid w:val="00A51837"/>
    <w:rsid w:val="00A51AD3"/>
    <w:rsid w:val="00A51AE7"/>
    <w:rsid w:val="00A51DBE"/>
    <w:rsid w:val="00A51DFA"/>
    <w:rsid w:val="00A51F19"/>
    <w:rsid w:val="00A52A8E"/>
    <w:rsid w:val="00A52D21"/>
    <w:rsid w:val="00A5307C"/>
    <w:rsid w:val="00A531AF"/>
    <w:rsid w:val="00A5342B"/>
    <w:rsid w:val="00A53BAA"/>
    <w:rsid w:val="00A53F03"/>
    <w:rsid w:val="00A5467A"/>
    <w:rsid w:val="00A54B32"/>
    <w:rsid w:val="00A551BE"/>
    <w:rsid w:val="00A551E2"/>
    <w:rsid w:val="00A55C76"/>
    <w:rsid w:val="00A55E2B"/>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457"/>
    <w:rsid w:val="00A704C4"/>
    <w:rsid w:val="00A7098A"/>
    <w:rsid w:val="00A70D38"/>
    <w:rsid w:val="00A70F33"/>
    <w:rsid w:val="00A7117A"/>
    <w:rsid w:val="00A71219"/>
    <w:rsid w:val="00A7121F"/>
    <w:rsid w:val="00A715DB"/>
    <w:rsid w:val="00A718F3"/>
    <w:rsid w:val="00A72545"/>
    <w:rsid w:val="00A72873"/>
    <w:rsid w:val="00A729F1"/>
    <w:rsid w:val="00A72CF5"/>
    <w:rsid w:val="00A72EC9"/>
    <w:rsid w:val="00A72ECB"/>
    <w:rsid w:val="00A73852"/>
    <w:rsid w:val="00A7393D"/>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46F"/>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3F"/>
    <w:rsid w:val="00AA485B"/>
    <w:rsid w:val="00AA49A0"/>
    <w:rsid w:val="00AA4FAE"/>
    <w:rsid w:val="00AA4FC3"/>
    <w:rsid w:val="00AA54F4"/>
    <w:rsid w:val="00AA568F"/>
    <w:rsid w:val="00AA58F5"/>
    <w:rsid w:val="00AA5D5A"/>
    <w:rsid w:val="00AA5D82"/>
    <w:rsid w:val="00AA5EE1"/>
    <w:rsid w:val="00AA62F5"/>
    <w:rsid w:val="00AA68C6"/>
    <w:rsid w:val="00AA69C3"/>
    <w:rsid w:val="00AA6F6B"/>
    <w:rsid w:val="00AA7189"/>
    <w:rsid w:val="00AA7214"/>
    <w:rsid w:val="00AA7C36"/>
    <w:rsid w:val="00AA7F2A"/>
    <w:rsid w:val="00AB0BA1"/>
    <w:rsid w:val="00AB0FC3"/>
    <w:rsid w:val="00AB1219"/>
    <w:rsid w:val="00AB1C3E"/>
    <w:rsid w:val="00AB202E"/>
    <w:rsid w:val="00AB2340"/>
    <w:rsid w:val="00AB2B89"/>
    <w:rsid w:val="00AB2BB4"/>
    <w:rsid w:val="00AB2E3F"/>
    <w:rsid w:val="00AB30F8"/>
    <w:rsid w:val="00AB3261"/>
    <w:rsid w:val="00AB3598"/>
    <w:rsid w:val="00AB3735"/>
    <w:rsid w:val="00AB448A"/>
    <w:rsid w:val="00AB47DF"/>
    <w:rsid w:val="00AB4FA4"/>
    <w:rsid w:val="00AB5084"/>
    <w:rsid w:val="00AB6073"/>
    <w:rsid w:val="00AB61B6"/>
    <w:rsid w:val="00AB6298"/>
    <w:rsid w:val="00AB642E"/>
    <w:rsid w:val="00AB65C3"/>
    <w:rsid w:val="00AB67D8"/>
    <w:rsid w:val="00AB6C98"/>
    <w:rsid w:val="00AB6CA7"/>
    <w:rsid w:val="00AB6FC9"/>
    <w:rsid w:val="00AB7731"/>
    <w:rsid w:val="00AC0369"/>
    <w:rsid w:val="00AC0392"/>
    <w:rsid w:val="00AC0979"/>
    <w:rsid w:val="00AC13B9"/>
    <w:rsid w:val="00AC15F3"/>
    <w:rsid w:val="00AC172A"/>
    <w:rsid w:val="00AC1741"/>
    <w:rsid w:val="00AC1D3B"/>
    <w:rsid w:val="00AC1FF3"/>
    <w:rsid w:val="00AC2140"/>
    <w:rsid w:val="00AC28A9"/>
    <w:rsid w:val="00AC2DCD"/>
    <w:rsid w:val="00AC39AF"/>
    <w:rsid w:val="00AC3A5D"/>
    <w:rsid w:val="00AC3CBA"/>
    <w:rsid w:val="00AC4153"/>
    <w:rsid w:val="00AC4162"/>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6C2"/>
    <w:rsid w:val="00AD4832"/>
    <w:rsid w:val="00AD4CD5"/>
    <w:rsid w:val="00AD4DC3"/>
    <w:rsid w:val="00AD5471"/>
    <w:rsid w:val="00AD5A95"/>
    <w:rsid w:val="00AD5CF2"/>
    <w:rsid w:val="00AD5DB3"/>
    <w:rsid w:val="00AD61B1"/>
    <w:rsid w:val="00AD6B3E"/>
    <w:rsid w:val="00AD6C61"/>
    <w:rsid w:val="00AD6F2B"/>
    <w:rsid w:val="00AD7A72"/>
    <w:rsid w:val="00AD7B61"/>
    <w:rsid w:val="00AD7E7C"/>
    <w:rsid w:val="00AE03BB"/>
    <w:rsid w:val="00AE0533"/>
    <w:rsid w:val="00AE060C"/>
    <w:rsid w:val="00AE0C39"/>
    <w:rsid w:val="00AE0EF4"/>
    <w:rsid w:val="00AE0FD3"/>
    <w:rsid w:val="00AE17F6"/>
    <w:rsid w:val="00AE296B"/>
    <w:rsid w:val="00AE2AD8"/>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727"/>
    <w:rsid w:val="00AE5A65"/>
    <w:rsid w:val="00AE60EC"/>
    <w:rsid w:val="00AE65C5"/>
    <w:rsid w:val="00AE6E8A"/>
    <w:rsid w:val="00AE6F55"/>
    <w:rsid w:val="00AE7208"/>
    <w:rsid w:val="00AE732B"/>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AC8"/>
    <w:rsid w:val="00B07B03"/>
    <w:rsid w:val="00B07DA1"/>
    <w:rsid w:val="00B07E76"/>
    <w:rsid w:val="00B1000D"/>
    <w:rsid w:val="00B10026"/>
    <w:rsid w:val="00B1022D"/>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EC"/>
    <w:rsid w:val="00B1468C"/>
    <w:rsid w:val="00B14A67"/>
    <w:rsid w:val="00B14BE6"/>
    <w:rsid w:val="00B154D7"/>
    <w:rsid w:val="00B15B4C"/>
    <w:rsid w:val="00B1608F"/>
    <w:rsid w:val="00B160B8"/>
    <w:rsid w:val="00B164C6"/>
    <w:rsid w:val="00B168CF"/>
    <w:rsid w:val="00B16B91"/>
    <w:rsid w:val="00B17141"/>
    <w:rsid w:val="00B172AB"/>
    <w:rsid w:val="00B176CD"/>
    <w:rsid w:val="00B17810"/>
    <w:rsid w:val="00B17CAF"/>
    <w:rsid w:val="00B20B7A"/>
    <w:rsid w:val="00B20D5C"/>
    <w:rsid w:val="00B20FDF"/>
    <w:rsid w:val="00B2156C"/>
    <w:rsid w:val="00B21EFC"/>
    <w:rsid w:val="00B220B1"/>
    <w:rsid w:val="00B22275"/>
    <w:rsid w:val="00B2274D"/>
    <w:rsid w:val="00B22A7E"/>
    <w:rsid w:val="00B22C12"/>
    <w:rsid w:val="00B230CB"/>
    <w:rsid w:val="00B233A3"/>
    <w:rsid w:val="00B23B5E"/>
    <w:rsid w:val="00B23B8E"/>
    <w:rsid w:val="00B23E15"/>
    <w:rsid w:val="00B2419B"/>
    <w:rsid w:val="00B241A5"/>
    <w:rsid w:val="00B247BF"/>
    <w:rsid w:val="00B24B9F"/>
    <w:rsid w:val="00B24E69"/>
    <w:rsid w:val="00B24F47"/>
    <w:rsid w:val="00B25622"/>
    <w:rsid w:val="00B25787"/>
    <w:rsid w:val="00B26158"/>
    <w:rsid w:val="00B2671C"/>
    <w:rsid w:val="00B268F0"/>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60CE"/>
    <w:rsid w:val="00B362D7"/>
    <w:rsid w:val="00B366FB"/>
    <w:rsid w:val="00B3786A"/>
    <w:rsid w:val="00B37A4D"/>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3A"/>
    <w:rsid w:val="00B462F0"/>
    <w:rsid w:val="00B46B64"/>
    <w:rsid w:val="00B46E3B"/>
    <w:rsid w:val="00B4717E"/>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950"/>
    <w:rsid w:val="00B55B3A"/>
    <w:rsid w:val="00B55D55"/>
    <w:rsid w:val="00B55E2E"/>
    <w:rsid w:val="00B56071"/>
    <w:rsid w:val="00B5683F"/>
    <w:rsid w:val="00B572DA"/>
    <w:rsid w:val="00B577B4"/>
    <w:rsid w:val="00B5782E"/>
    <w:rsid w:val="00B6000D"/>
    <w:rsid w:val="00B601FD"/>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36E"/>
    <w:rsid w:val="00B80587"/>
    <w:rsid w:val="00B80AFA"/>
    <w:rsid w:val="00B80FF0"/>
    <w:rsid w:val="00B81070"/>
    <w:rsid w:val="00B81177"/>
    <w:rsid w:val="00B8162A"/>
    <w:rsid w:val="00B818DF"/>
    <w:rsid w:val="00B81CC0"/>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DE3"/>
    <w:rsid w:val="00B903A3"/>
    <w:rsid w:val="00B90545"/>
    <w:rsid w:val="00B90F87"/>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3C2"/>
    <w:rsid w:val="00BA13C3"/>
    <w:rsid w:val="00BA1A3F"/>
    <w:rsid w:val="00BA1F39"/>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3FA1"/>
    <w:rsid w:val="00BB43B0"/>
    <w:rsid w:val="00BB4477"/>
    <w:rsid w:val="00BB451C"/>
    <w:rsid w:val="00BB4565"/>
    <w:rsid w:val="00BB4653"/>
    <w:rsid w:val="00BB54DA"/>
    <w:rsid w:val="00BB5516"/>
    <w:rsid w:val="00BB5ED7"/>
    <w:rsid w:val="00BB6801"/>
    <w:rsid w:val="00BB6D71"/>
    <w:rsid w:val="00BB71D7"/>
    <w:rsid w:val="00BB7280"/>
    <w:rsid w:val="00BB7312"/>
    <w:rsid w:val="00BB7497"/>
    <w:rsid w:val="00BB7C33"/>
    <w:rsid w:val="00BC0096"/>
    <w:rsid w:val="00BC031E"/>
    <w:rsid w:val="00BC0363"/>
    <w:rsid w:val="00BC0914"/>
    <w:rsid w:val="00BC10C2"/>
    <w:rsid w:val="00BC1AE1"/>
    <w:rsid w:val="00BC1D76"/>
    <w:rsid w:val="00BC1F69"/>
    <w:rsid w:val="00BC21AF"/>
    <w:rsid w:val="00BC2422"/>
    <w:rsid w:val="00BC2503"/>
    <w:rsid w:val="00BC290E"/>
    <w:rsid w:val="00BC2D0C"/>
    <w:rsid w:val="00BC2FA5"/>
    <w:rsid w:val="00BC34B5"/>
    <w:rsid w:val="00BC35A2"/>
    <w:rsid w:val="00BC41E1"/>
    <w:rsid w:val="00BC42E3"/>
    <w:rsid w:val="00BC46CF"/>
    <w:rsid w:val="00BC47C6"/>
    <w:rsid w:val="00BC48A8"/>
    <w:rsid w:val="00BC49EF"/>
    <w:rsid w:val="00BC5AF9"/>
    <w:rsid w:val="00BC5E44"/>
    <w:rsid w:val="00BC60EF"/>
    <w:rsid w:val="00BC6667"/>
    <w:rsid w:val="00BC6763"/>
    <w:rsid w:val="00BC79D4"/>
    <w:rsid w:val="00BC79E1"/>
    <w:rsid w:val="00BD04AC"/>
    <w:rsid w:val="00BD0526"/>
    <w:rsid w:val="00BD075A"/>
    <w:rsid w:val="00BD09BA"/>
    <w:rsid w:val="00BD0A21"/>
    <w:rsid w:val="00BD0E7B"/>
    <w:rsid w:val="00BD0EDB"/>
    <w:rsid w:val="00BD1622"/>
    <w:rsid w:val="00BD181F"/>
    <w:rsid w:val="00BD1C89"/>
    <w:rsid w:val="00BD2B35"/>
    <w:rsid w:val="00BD347E"/>
    <w:rsid w:val="00BD34C0"/>
    <w:rsid w:val="00BD354F"/>
    <w:rsid w:val="00BD35BB"/>
    <w:rsid w:val="00BD4607"/>
    <w:rsid w:val="00BD4BEA"/>
    <w:rsid w:val="00BD5069"/>
    <w:rsid w:val="00BD5106"/>
    <w:rsid w:val="00BD529A"/>
    <w:rsid w:val="00BD55E1"/>
    <w:rsid w:val="00BD56B4"/>
    <w:rsid w:val="00BD5AEA"/>
    <w:rsid w:val="00BD5E12"/>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EF2"/>
    <w:rsid w:val="00BE41DE"/>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AA3"/>
    <w:rsid w:val="00BF2E33"/>
    <w:rsid w:val="00BF2FBF"/>
    <w:rsid w:val="00BF35BC"/>
    <w:rsid w:val="00BF3B22"/>
    <w:rsid w:val="00BF4100"/>
    <w:rsid w:val="00BF4458"/>
    <w:rsid w:val="00BF486D"/>
    <w:rsid w:val="00BF48C5"/>
    <w:rsid w:val="00BF48FA"/>
    <w:rsid w:val="00BF50AE"/>
    <w:rsid w:val="00BF69D1"/>
    <w:rsid w:val="00BF6D60"/>
    <w:rsid w:val="00BF7377"/>
    <w:rsid w:val="00BF7451"/>
    <w:rsid w:val="00BF7E62"/>
    <w:rsid w:val="00C00370"/>
    <w:rsid w:val="00C0057C"/>
    <w:rsid w:val="00C00927"/>
    <w:rsid w:val="00C00DA3"/>
    <w:rsid w:val="00C00DB9"/>
    <w:rsid w:val="00C00E4B"/>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407"/>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471"/>
    <w:rsid w:val="00C145BA"/>
    <w:rsid w:val="00C152AA"/>
    <w:rsid w:val="00C1531C"/>
    <w:rsid w:val="00C1542D"/>
    <w:rsid w:val="00C157C9"/>
    <w:rsid w:val="00C15964"/>
    <w:rsid w:val="00C15C21"/>
    <w:rsid w:val="00C16059"/>
    <w:rsid w:val="00C1641D"/>
    <w:rsid w:val="00C1645C"/>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BCB"/>
    <w:rsid w:val="00C21ECA"/>
    <w:rsid w:val="00C222EF"/>
    <w:rsid w:val="00C226C7"/>
    <w:rsid w:val="00C23241"/>
    <w:rsid w:val="00C23287"/>
    <w:rsid w:val="00C2388A"/>
    <w:rsid w:val="00C24116"/>
    <w:rsid w:val="00C247C4"/>
    <w:rsid w:val="00C247FD"/>
    <w:rsid w:val="00C24EF5"/>
    <w:rsid w:val="00C251C7"/>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94C"/>
    <w:rsid w:val="00C42C22"/>
    <w:rsid w:val="00C42E7C"/>
    <w:rsid w:val="00C43366"/>
    <w:rsid w:val="00C43461"/>
    <w:rsid w:val="00C4378E"/>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F50"/>
    <w:rsid w:val="00C52CA6"/>
    <w:rsid w:val="00C52DEC"/>
    <w:rsid w:val="00C52DFB"/>
    <w:rsid w:val="00C52EB1"/>
    <w:rsid w:val="00C53230"/>
    <w:rsid w:val="00C53622"/>
    <w:rsid w:val="00C53681"/>
    <w:rsid w:val="00C539D2"/>
    <w:rsid w:val="00C54465"/>
    <w:rsid w:val="00C54CE2"/>
    <w:rsid w:val="00C54E9E"/>
    <w:rsid w:val="00C54EA0"/>
    <w:rsid w:val="00C55272"/>
    <w:rsid w:val="00C554BD"/>
    <w:rsid w:val="00C5573A"/>
    <w:rsid w:val="00C562E1"/>
    <w:rsid w:val="00C569DD"/>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24C4"/>
    <w:rsid w:val="00C63250"/>
    <w:rsid w:val="00C6394D"/>
    <w:rsid w:val="00C63E9B"/>
    <w:rsid w:val="00C642C7"/>
    <w:rsid w:val="00C64B52"/>
    <w:rsid w:val="00C64CA7"/>
    <w:rsid w:val="00C65023"/>
    <w:rsid w:val="00C65515"/>
    <w:rsid w:val="00C655FF"/>
    <w:rsid w:val="00C6569E"/>
    <w:rsid w:val="00C65AA9"/>
    <w:rsid w:val="00C65BA6"/>
    <w:rsid w:val="00C65CFC"/>
    <w:rsid w:val="00C662EF"/>
    <w:rsid w:val="00C664B1"/>
    <w:rsid w:val="00C66D44"/>
    <w:rsid w:val="00C673BD"/>
    <w:rsid w:val="00C677CF"/>
    <w:rsid w:val="00C679CE"/>
    <w:rsid w:val="00C67B70"/>
    <w:rsid w:val="00C67D68"/>
    <w:rsid w:val="00C67EE4"/>
    <w:rsid w:val="00C70130"/>
    <w:rsid w:val="00C70202"/>
    <w:rsid w:val="00C70986"/>
    <w:rsid w:val="00C71921"/>
    <w:rsid w:val="00C7194C"/>
    <w:rsid w:val="00C71DED"/>
    <w:rsid w:val="00C7258B"/>
    <w:rsid w:val="00C7293E"/>
    <w:rsid w:val="00C72CA3"/>
    <w:rsid w:val="00C730B4"/>
    <w:rsid w:val="00C734D0"/>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0EB1"/>
    <w:rsid w:val="00C912E9"/>
    <w:rsid w:val="00C91769"/>
    <w:rsid w:val="00C919B9"/>
    <w:rsid w:val="00C92271"/>
    <w:rsid w:val="00C9230C"/>
    <w:rsid w:val="00C929C8"/>
    <w:rsid w:val="00C9406A"/>
    <w:rsid w:val="00C9406E"/>
    <w:rsid w:val="00C9436B"/>
    <w:rsid w:val="00C947DC"/>
    <w:rsid w:val="00C94C24"/>
    <w:rsid w:val="00C94DC0"/>
    <w:rsid w:val="00C94E00"/>
    <w:rsid w:val="00C950DC"/>
    <w:rsid w:val="00C95637"/>
    <w:rsid w:val="00C95CEB"/>
    <w:rsid w:val="00C95DFF"/>
    <w:rsid w:val="00C95F6B"/>
    <w:rsid w:val="00C95F80"/>
    <w:rsid w:val="00C96785"/>
    <w:rsid w:val="00C975F0"/>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ECE"/>
    <w:rsid w:val="00CB41E6"/>
    <w:rsid w:val="00CB439E"/>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A0"/>
    <w:rsid w:val="00CD2D3B"/>
    <w:rsid w:val="00CD2DFF"/>
    <w:rsid w:val="00CD30D1"/>
    <w:rsid w:val="00CD35EF"/>
    <w:rsid w:val="00CD3C5B"/>
    <w:rsid w:val="00CD3CFE"/>
    <w:rsid w:val="00CD3E49"/>
    <w:rsid w:val="00CD4145"/>
    <w:rsid w:val="00CD47FB"/>
    <w:rsid w:val="00CD489A"/>
    <w:rsid w:val="00CD48E0"/>
    <w:rsid w:val="00CD4A14"/>
    <w:rsid w:val="00CD5504"/>
    <w:rsid w:val="00CD572D"/>
    <w:rsid w:val="00CD577A"/>
    <w:rsid w:val="00CD5A74"/>
    <w:rsid w:val="00CD5D18"/>
    <w:rsid w:val="00CD5E5A"/>
    <w:rsid w:val="00CD5E8A"/>
    <w:rsid w:val="00CD6049"/>
    <w:rsid w:val="00CD6482"/>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6C94"/>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A20"/>
    <w:rsid w:val="00CF5A39"/>
    <w:rsid w:val="00CF5C48"/>
    <w:rsid w:val="00CF5E94"/>
    <w:rsid w:val="00CF6498"/>
    <w:rsid w:val="00CF654D"/>
    <w:rsid w:val="00CF6697"/>
    <w:rsid w:val="00CF67B0"/>
    <w:rsid w:val="00CF6F3E"/>
    <w:rsid w:val="00D00021"/>
    <w:rsid w:val="00D0045F"/>
    <w:rsid w:val="00D00793"/>
    <w:rsid w:val="00D00A5C"/>
    <w:rsid w:val="00D0120C"/>
    <w:rsid w:val="00D01363"/>
    <w:rsid w:val="00D01473"/>
    <w:rsid w:val="00D014F5"/>
    <w:rsid w:val="00D01625"/>
    <w:rsid w:val="00D0185E"/>
    <w:rsid w:val="00D0198C"/>
    <w:rsid w:val="00D01AC3"/>
    <w:rsid w:val="00D01B83"/>
    <w:rsid w:val="00D01B96"/>
    <w:rsid w:val="00D01BF0"/>
    <w:rsid w:val="00D0235A"/>
    <w:rsid w:val="00D025A6"/>
    <w:rsid w:val="00D02B09"/>
    <w:rsid w:val="00D02C28"/>
    <w:rsid w:val="00D02F9D"/>
    <w:rsid w:val="00D03130"/>
    <w:rsid w:val="00D039FD"/>
    <w:rsid w:val="00D03AD2"/>
    <w:rsid w:val="00D03B24"/>
    <w:rsid w:val="00D03CEE"/>
    <w:rsid w:val="00D0405E"/>
    <w:rsid w:val="00D0412E"/>
    <w:rsid w:val="00D04280"/>
    <w:rsid w:val="00D04B10"/>
    <w:rsid w:val="00D04E19"/>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2D6"/>
    <w:rsid w:val="00D07356"/>
    <w:rsid w:val="00D073FF"/>
    <w:rsid w:val="00D1002C"/>
    <w:rsid w:val="00D107D2"/>
    <w:rsid w:val="00D10A06"/>
    <w:rsid w:val="00D115E0"/>
    <w:rsid w:val="00D117E3"/>
    <w:rsid w:val="00D11D7F"/>
    <w:rsid w:val="00D11F92"/>
    <w:rsid w:val="00D121A3"/>
    <w:rsid w:val="00D12931"/>
    <w:rsid w:val="00D12CD2"/>
    <w:rsid w:val="00D12ED4"/>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83C"/>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663"/>
    <w:rsid w:val="00D271A5"/>
    <w:rsid w:val="00D276B2"/>
    <w:rsid w:val="00D276B9"/>
    <w:rsid w:val="00D2789B"/>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421F"/>
    <w:rsid w:val="00D342EF"/>
    <w:rsid w:val="00D343C8"/>
    <w:rsid w:val="00D34602"/>
    <w:rsid w:val="00D34D45"/>
    <w:rsid w:val="00D3533A"/>
    <w:rsid w:val="00D35D5F"/>
    <w:rsid w:val="00D360B4"/>
    <w:rsid w:val="00D360E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2F"/>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3C60"/>
    <w:rsid w:val="00D54108"/>
    <w:rsid w:val="00D5436C"/>
    <w:rsid w:val="00D547F2"/>
    <w:rsid w:val="00D54833"/>
    <w:rsid w:val="00D549F4"/>
    <w:rsid w:val="00D54D08"/>
    <w:rsid w:val="00D5535C"/>
    <w:rsid w:val="00D5541B"/>
    <w:rsid w:val="00D5564A"/>
    <w:rsid w:val="00D55683"/>
    <w:rsid w:val="00D56396"/>
    <w:rsid w:val="00D56B1B"/>
    <w:rsid w:val="00D5740A"/>
    <w:rsid w:val="00D57547"/>
    <w:rsid w:val="00D5757A"/>
    <w:rsid w:val="00D57836"/>
    <w:rsid w:val="00D57A15"/>
    <w:rsid w:val="00D57E19"/>
    <w:rsid w:val="00D57FDA"/>
    <w:rsid w:val="00D6018F"/>
    <w:rsid w:val="00D60A11"/>
    <w:rsid w:val="00D60FF7"/>
    <w:rsid w:val="00D610C8"/>
    <w:rsid w:val="00D6199C"/>
    <w:rsid w:val="00D61D90"/>
    <w:rsid w:val="00D61DBA"/>
    <w:rsid w:val="00D61F3C"/>
    <w:rsid w:val="00D61FA1"/>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B8C"/>
    <w:rsid w:val="00D710C8"/>
    <w:rsid w:val="00D71430"/>
    <w:rsid w:val="00D71445"/>
    <w:rsid w:val="00D7152D"/>
    <w:rsid w:val="00D7181F"/>
    <w:rsid w:val="00D71AFE"/>
    <w:rsid w:val="00D71CE6"/>
    <w:rsid w:val="00D720F6"/>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771"/>
    <w:rsid w:val="00D81AF1"/>
    <w:rsid w:val="00D822B7"/>
    <w:rsid w:val="00D82589"/>
    <w:rsid w:val="00D8280C"/>
    <w:rsid w:val="00D8298A"/>
    <w:rsid w:val="00D83208"/>
    <w:rsid w:val="00D837F3"/>
    <w:rsid w:val="00D83A6E"/>
    <w:rsid w:val="00D8432C"/>
    <w:rsid w:val="00D843F9"/>
    <w:rsid w:val="00D84979"/>
    <w:rsid w:val="00D84D15"/>
    <w:rsid w:val="00D851A6"/>
    <w:rsid w:val="00D851F4"/>
    <w:rsid w:val="00D85907"/>
    <w:rsid w:val="00D85BB3"/>
    <w:rsid w:val="00D85DE0"/>
    <w:rsid w:val="00D85E62"/>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5A5"/>
    <w:rsid w:val="00D97657"/>
    <w:rsid w:val="00D979FB"/>
    <w:rsid w:val="00D97A93"/>
    <w:rsid w:val="00D97A99"/>
    <w:rsid w:val="00D97C25"/>
    <w:rsid w:val="00D97C78"/>
    <w:rsid w:val="00D97D66"/>
    <w:rsid w:val="00D97DB4"/>
    <w:rsid w:val="00DA046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5F4A"/>
    <w:rsid w:val="00DA6168"/>
    <w:rsid w:val="00DA6E80"/>
    <w:rsid w:val="00DA6F89"/>
    <w:rsid w:val="00DA7349"/>
    <w:rsid w:val="00DA76B1"/>
    <w:rsid w:val="00DA7719"/>
    <w:rsid w:val="00DA7995"/>
    <w:rsid w:val="00DA7BFD"/>
    <w:rsid w:val="00DB0167"/>
    <w:rsid w:val="00DB01E5"/>
    <w:rsid w:val="00DB0962"/>
    <w:rsid w:val="00DB110D"/>
    <w:rsid w:val="00DB1188"/>
    <w:rsid w:val="00DB16A4"/>
    <w:rsid w:val="00DB173A"/>
    <w:rsid w:val="00DB1A93"/>
    <w:rsid w:val="00DB1BB5"/>
    <w:rsid w:val="00DB1C66"/>
    <w:rsid w:val="00DB1FED"/>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442"/>
    <w:rsid w:val="00DD0E7E"/>
    <w:rsid w:val="00DD1008"/>
    <w:rsid w:val="00DD14C6"/>
    <w:rsid w:val="00DD14D2"/>
    <w:rsid w:val="00DD164C"/>
    <w:rsid w:val="00DD16BF"/>
    <w:rsid w:val="00DD226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3CD"/>
    <w:rsid w:val="00DE0B62"/>
    <w:rsid w:val="00DE1311"/>
    <w:rsid w:val="00DE1384"/>
    <w:rsid w:val="00DE14AF"/>
    <w:rsid w:val="00DE1624"/>
    <w:rsid w:val="00DE1F9A"/>
    <w:rsid w:val="00DE2373"/>
    <w:rsid w:val="00DE26A2"/>
    <w:rsid w:val="00DE2747"/>
    <w:rsid w:val="00DE2A67"/>
    <w:rsid w:val="00DE2AA6"/>
    <w:rsid w:val="00DE2E6E"/>
    <w:rsid w:val="00DE3599"/>
    <w:rsid w:val="00DE3A26"/>
    <w:rsid w:val="00DE3C0C"/>
    <w:rsid w:val="00DE3E39"/>
    <w:rsid w:val="00DE40D7"/>
    <w:rsid w:val="00DE4390"/>
    <w:rsid w:val="00DE4472"/>
    <w:rsid w:val="00DE491A"/>
    <w:rsid w:val="00DE54C6"/>
    <w:rsid w:val="00DE54D8"/>
    <w:rsid w:val="00DE5603"/>
    <w:rsid w:val="00DE57EB"/>
    <w:rsid w:val="00DE58F9"/>
    <w:rsid w:val="00DE5EA7"/>
    <w:rsid w:val="00DE6A7D"/>
    <w:rsid w:val="00DE6AF2"/>
    <w:rsid w:val="00DE6C08"/>
    <w:rsid w:val="00DE6CDB"/>
    <w:rsid w:val="00DE6F6A"/>
    <w:rsid w:val="00DE7103"/>
    <w:rsid w:val="00DE7130"/>
    <w:rsid w:val="00DE716C"/>
    <w:rsid w:val="00DE744D"/>
    <w:rsid w:val="00DF06E6"/>
    <w:rsid w:val="00DF0F37"/>
    <w:rsid w:val="00DF1866"/>
    <w:rsid w:val="00DF1E16"/>
    <w:rsid w:val="00DF205F"/>
    <w:rsid w:val="00DF2412"/>
    <w:rsid w:val="00DF2432"/>
    <w:rsid w:val="00DF2509"/>
    <w:rsid w:val="00DF2999"/>
    <w:rsid w:val="00DF2F86"/>
    <w:rsid w:val="00DF33E0"/>
    <w:rsid w:val="00DF3E4F"/>
    <w:rsid w:val="00DF407A"/>
    <w:rsid w:val="00DF42D0"/>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AB4"/>
    <w:rsid w:val="00DF7BA0"/>
    <w:rsid w:val="00E0042D"/>
    <w:rsid w:val="00E0089E"/>
    <w:rsid w:val="00E00E3F"/>
    <w:rsid w:val="00E00EB6"/>
    <w:rsid w:val="00E016F8"/>
    <w:rsid w:val="00E01799"/>
    <w:rsid w:val="00E01D02"/>
    <w:rsid w:val="00E02071"/>
    <w:rsid w:val="00E021AB"/>
    <w:rsid w:val="00E02773"/>
    <w:rsid w:val="00E02AF6"/>
    <w:rsid w:val="00E02AFD"/>
    <w:rsid w:val="00E03657"/>
    <w:rsid w:val="00E0370C"/>
    <w:rsid w:val="00E0392B"/>
    <w:rsid w:val="00E03E45"/>
    <w:rsid w:val="00E03F50"/>
    <w:rsid w:val="00E0406D"/>
    <w:rsid w:val="00E0431F"/>
    <w:rsid w:val="00E045F7"/>
    <w:rsid w:val="00E04801"/>
    <w:rsid w:val="00E04E06"/>
    <w:rsid w:val="00E04E97"/>
    <w:rsid w:val="00E051FA"/>
    <w:rsid w:val="00E054F1"/>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6B8"/>
    <w:rsid w:val="00E31A02"/>
    <w:rsid w:val="00E31A50"/>
    <w:rsid w:val="00E31DDE"/>
    <w:rsid w:val="00E320C5"/>
    <w:rsid w:val="00E32285"/>
    <w:rsid w:val="00E326F4"/>
    <w:rsid w:val="00E32C54"/>
    <w:rsid w:val="00E32F9C"/>
    <w:rsid w:val="00E3300E"/>
    <w:rsid w:val="00E33178"/>
    <w:rsid w:val="00E3320D"/>
    <w:rsid w:val="00E332FF"/>
    <w:rsid w:val="00E3364F"/>
    <w:rsid w:val="00E33892"/>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AF6"/>
    <w:rsid w:val="00E40D7C"/>
    <w:rsid w:val="00E40E63"/>
    <w:rsid w:val="00E411ED"/>
    <w:rsid w:val="00E4133D"/>
    <w:rsid w:val="00E41521"/>
    <w:rsid w:val="00E4164B"/>
    <w:rsid w:val="00E416F5"/>
    <w:rsid w:val="00E41ADF"/>
    <w:rsid w:val="00E41FA7"/>
    <w:rsid w:val="00E433A4"/>
    <w:rsid w:val="00E43A7D"/>
    <w:rsid w:val="00E43B3F"/>
    <w:rsid w:val="00E43B7E"/>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DB3"/>
    <w:rsid w:val="00E5200A"/>
    <w:rsid w:val="00E526E5"/>
    <w:rsid w:val="00E532A9"/>
    <w:rsid w:val="00E53878"/>
    <w:rsid w:val="00E539C4"/>
    <w:rsid w:val="00E53BA2"/>
    <w:rsid w:val="00E53F04"/>
    <w:rsid w:val="00E542B9"/>
    <w:rsid w:val="00E5454F"/>
    <w:rsid w:val="00E54E54"/>
    <w:rsid w:val="00E55148"/>
    <w:rsid w:val="00E55541"/>
    <w:rsid w:val="00E5565B"/>
    <w:rsid w:val="00E5597A"/>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460"/>
    <w:rsid w:val="00E64511"/>
    <w:rsid w:val="00E64768"/>
    <w:rsid w:val="00E647F0"/>
    <w:rsid w:val="00E64930"/>
    <w:rsid w:val="00E64DAF"/>
    <w:rsid w:val="00E6528A"/>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1513"/>
    <w:rsid w:val="00E71CC6"/>
    <w:rsid w:val="00E721BB"/>
    <w:rsid w:val="00E722F6"/>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77CEE"/>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438D"/>
    <w:rsid w:val="00E84622"/>
    <w:rsid w:val="00E847A0"/>
    <w:rsid w:val="00E84A73"/>
    <w:rsid w:val="00E8512F"/>
    <w:rsid w:val="00E853AA"/>
    <w:rsid w:val="00E85AC0"/>
    <w:rsid w:val="00E85ADE"/>
    <w:rsid w:val="00E86350"/>
    <w:rsid w:val="00E863DE"/>
    <w:rsid w:val="00E866AB"/>
    <w:rsid w:val="00E86752"/>
    <w:rsid w:val="00E86959"/>
    <w:rsid w:val="00E86E36"/>
    <w:rsid w:val="00E87577"/>
    <w:rsid w:val="00E87891"/>
    <w:rsid w:val="00E87EEF"/>
    <w:rsid w:val="00E91078"/>
    <w:rsid w:val="00E91D67"/>
    <w:rsid w:val="00E92315"/>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970"/>
    <w:rsid w:val="00EA4C56"/>
    <w:rsid w:val="00EA4EE2"/>
    <w:rsid w:val="00EA512E"/>
    <w:rsid w:val="00EA5522"/>
    <w:rsid w:val="00EA5919"/>
    <w:rsid w:val="00EA5D57"/>
    <w:rsid w:val="00EA5D61"/>
    <w:rsid w:val="00EA61D3"/>
    <w:rsid w:val="00EA67CE"/>
    <w:rsid w:val="00EA6ED2"/>
    <w:rsid w:val="00EA72C6"/>
    <w:rsid w:val="00EA7363"/>
    <w:rsid w:val="00EA78FC"/>
    <w:rsid w:val="00EA7B5C"/>
    <w:rsid w:val="00EB0BD6"/>
    <w:rsid w:val="00EB0C09"/>
    <w:rsid w:val="00EB147A"/>
    <w:rsid w:val="00EB1613"/>
    <w:rsid w:val="00EB311E"/>
    <w:rsid w:val="00EB32E0"/>
    <w:rsid w:val="00EB349C"/>
    <w:rsid w:val="00EB42FA"/>
    <w:rsid w:val="00EB47C3"/>
    <w:rsid w:val="00EB47CD"/>
    <w:rsid w:val="00EB4803"/>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34B"/>
    <w:rsid w:val="00EC0955"/>
    <w:rsid w:val="00EC09F6"/>
    <w:rsid w:val="00EC1216"/>
    <w:rsid w:val="00EC1782"/>
    <w:rsid w:val="00EC179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C751C"/>
    <w:rsid w:val="00ED022E"/>
    <w:rsid w:val="00ED0712"/>
    <w:rsid w:val="00ED0773"/>
    <w:rsid w:val="00ED1364"/>
    <w:rsid w:val="00ED141D"/>
    <w:rsid w:val="00ED1761"/>
    <w:rsid w:val="00ED17D0"/>
    <w:rsid w:val="00ED19FE"/>
    <w:rsid w:val="00ED1D66"/>
    <w:rsid w:val="00ED20A4"/>
    <w:rsid w:val="00ED2156"/>
    <w:rsid w:val="00ED21C9"/>
    <w:rsid w:val="00ED302C"/>
    <w:rsid w:val="00ED348C"/>
    <w:rsid w:val="00ED3711"/>
    <w:rsid w:val="00ED3878"/>
    <w:rsid w:val="00ED3952"/>
    <w:rsid w:val="00ED401D"/>
    <w:rsid w:val="00ED4121"/>
    <w:rsid w:val="00ED44DC"/>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7956"/>
    <w:rsid w:val="00EF7F60"/>
    <w:rsid w:val="00F00116"/>
    <w:rsid w:val="00F0034A"/>
    <w:rsid w:val="00F00669"/>
    <w:rsid w:val="00F00670"/>
    <w:rsid w:val="00F0069D"/>
    <w:rsid w:val="00F00A3A"/>
    <w:rsid w:val="00F00C08"/>
    <w:rsid w:val="00F0111D"/>
    <w:rsid w:val="00F01FDA"/>
    <w:rsid w:val="00F020D0"/>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5ED2"/>
    <w:rsid w:val="00F261C3"/>
    <w:rsid w:val="00F26431"/>
    <w:rsid w:val="00F26A4B"/>
    <w:rsid w:val="00F26BD2"/>
    <w:rsid w:val="00F26E53"/>
    <w:rsid w:val="00F27025"/>
    <w:rsid w:val="00F27471"/>
    <w:rsid w:val="00F2758A"/>
    <w:rsid w:val="00F27674"/>
    <w:rsid w:val="00F27701"/>
    <w:rsid w:val="00F27C1E"/>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499"/>
    <w:rsid w:val="00F36B7B"/>
    <w:rsid w:val="00F3731F"/>
    <w:rsid w:val="00F374D0"/>
    <w:rsid w:val="00F404DE"/>
    <w:rsid w:val="00F407EE"/>
    <w:rsid w:val="00F408D9"/>
    <w:rsid w:val="00F40A99"/>
    <w:rsid w:val="00F40AB2"/>
    <w:rsid w:val="00F40AF9"/>
    <w:rsid w:val="00F40CEB"/>
    <w:rsid w:val="00F40ED4"/>
    <w:rsid w:val="00F40F6B"/>
    <w:rsid w:val="00F4102E"/>
    <w:rsid w:val="00F411B2"/>
    <w:rsid w:val="00F414AE"/>
    <w:rsid w:val="00F4172D"/>
    <w:rsid w:val="00F418D9"/>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51"/>
    <w:rsid w:val="00F57572"/>
    <w:rsid w:val="00F5797A"/>
    <w:rsid w:val="00F600C3"/>
    <w:rsid w:val="00F60283"/>
    <w:rsid w:val="00F60A83"/>
    <w:rsid w:val="00F60B66"/>
    <w:rsid w:val="00F60BF5"/>
    <w:rsid w:val="00F61166"/>
    <w:rsid w:val="00F616C5"/>
    <w:rsid w:val="00F6245C"/>
    <w:rsid w:val="00F62B05"/>
    <w:rsid w:val="00F62BB6"/>
    <w:rsid w:val="00F62E11"/>
    <w:rsid w:val="00F63205"/>
    <w:rsid w:val="00F632A0"/>
    <w:rsid w:val="00F64C22"/>
    <w:rsid w:val="00F65473"/>
    <w:rsid w:val="00F65EDB"/>
    <w:rsid w:val="00F66093"/>
    <w:rsid w:val="00F660F0"/>
    <w:rsid w:val="00F66635"/>
    <w:rsid w:val="00F66656"/>
    <w:rsid w:val="00F66D19"/>
    <w:rsid w:val="00F671B6"/>
    <w:rsid w:val="00F671F9"/>
    <w:rsid w:val="00F676FD"/>
    <w:rsid w:val="00F70618"/>
    <w:rsid w:val="00F70774"/>
    <w:rsid w:val="00F708E5"/>
    <w:rsid w:val="00F70BEC"/>
    <w:rsid w:val="00F70E6F"/>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BB6"/>
    <w:rsid w:val="00F84230"/>
    <w:rsid w:val="00F84327"/>
    <w:rsid w:val="00F843CC"/>
    <w:rsid w:val="00F8488F"/>
    <w:rsid w:val="00F84984"/>
    <w:rsid w:val="00F849A5"/>
    <w:rsid w:val="00F84D5A"/>
    <w:rsid w:val="00F84EA9"/>
    <w:rsid w:val="00F8532B"/>
    <w:rsid w:val="00F85465"/>
    <w:rsid w:val="00F85F06"/>
    <w:rsid w:val="00F87307"/>
    <w:rsid w:val="00F874CB"/>
    <w:rsid w:val="00F876CA"/>
    <w:rsid w:val="00F9001E"/>
    <w:rsid w:val="00F90D11"/>
    <w:rsid w:val="00F91074"/>
    <w:rsid w:val="00F9117E"/>
    <w:rsid w:val="00F91E16"/>
    <w:rsid w:val="00F923BC"/>
    <w:rsid w:val="00F92606"/>
    <w:rsid w:val="00F92A36"/>
    <w:rsid w:val="00F92BC3"/>
    <w:rsid w:val="00F92CE8"/>
    <w:rsid w:val="00F92EFE"/>
    <w:rsid w:val="00F934E4"/>
    <w:rsid w:val="00F938B5"/>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0D8"/>
    <w:rsid w:val="00FA74AE"/>
    <w:rsid w:val="00FA7696"/>
    <w:rsid w:val="00FA7A98"/>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2ED2"/>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223A"/>
    <w:rsid w:val="00FC2486"/>
    <w:rsid w:val="00FC262E"/>
    <w:rsid w:val="00FC2695"/>
    <w:rsid w:val="00FC281A"/>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2F4D"/>
    <w:rsid w:val="00FD324D"/>
    <w:rsid w:val="00FD360C"/>
    <w:rsid w:val="00FD3B55"/>
    <w:rsid w:val="00FD437B"/>
    <w:rsid w:val="00FD43A0"/>
    <w:rsid w:val="00FD4859"/>
    <w:rsid w:val="00FD54F6"/>
    <w:rsid w:val="00FD5511"/>
    <w:rsid w:val="00FD5C39"/>
    <w:rsid w:val="00FD6104"/>
    <w:rsid w:val="00FD6540"/>
    <w:rsid w:val="00FD6C64"/>
    <w:rsid w:val="00FD75BE"/>
    <w:rsid w:val="00FD76F5"/>
    <w:rsid w:val="00FD7FE6"/>
    <w:rsid w:val="00FE0389"/>
    <w:rsid w:val="00FE05B4"/>
    <w:rsid w:val="00FE0C3D"/>
    <w:rsid w:val="00FE0D02"/>
    <w:rsid w:val="00FE0E64"/>
    <w:rsid w:val="00FE1350"/>
    <w:rsid w:val="00FE14A9"/>
    <w:rsid w:val="00FE1AC8"/>
    <w:rsid w:val="00FE1C57"/>
    <w:rsid w:val="00FE23C2"/>
    <w:rsid w:val="00FE2B1B"/>
    <w:rsid w:val="00FE2BCC"/>
    <w:rsid w:val="00FE3089"/>
    <w:rsid w:val="00FE3112"/>
    <w:rsid w:val="00FE40BD"/>
    <w:rsid w:val="00FE435D"/>
    <w:rsid w:val="00FE4743"/>
    <w:rsid w:val="00FE5906"/>
    <w:rsid w:val="00FE590E"/>
    <w:rsid w:val="00FE5B0F"/>
    <w:rsid w:val="00FE5B26"/>
    <w:rsid w:val="00FE5E62"/>
    <w:rsid w:val="00FE6523"/>
    <w:rsid w:val="00FE6A1D"/>
    <w:rsid w:val="00FE6CC9"/>
    <w:rsid w:val="00FE7234"/>
    <w:rsid w:val="00FE793B"/>
    <w:rsid w:val="00FE7A21"/>
    <w:rsid w:val="00FE7AE7"/>
    <w:rsid w:val="00FF078A"/>
    <w:rsid w:val="00FF13A8"/>
    <w:rsid w:val="00FF182C"/>
    <w:rsid w:val="00FF1CA6"/>
    <w:rsid w:val="00FF26E1"/>
    <w:rsid w:val="00FF2804"/>
    <w:rsid w:val="00FF2A4E"/>
    <w:rsid w:val="00FF2E98"/>
    <w:rsid w:val="00FF2F90"/>
    <w:rsid w:val="00FF34DD"/>
    <w:rsid w:val="00FF37BD"/>
    <w:rsid w:val="00FF3CED"/>
    <w:rsid w:val="00FF3F20"/>
    <w:rsid w:val="00FF49BB"/>
    <w:rsid w:val="00FF4A69"/>
    <w:rsid w:val="00FF4C4E"/>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01658B"/>
    <w:rsid w:val="010C7DCA"/>
    <w:rsid w:val="0115454E"/>
    <w:rsid w:val="01242C11"/>
    <w:rsid w:val="0134424B"/>
    <w:rsid w:val="013B5510"/>
    <w:rsid w:val="013D13C6"/>
    <w:rsid w:val="01422B07"/>
    <w:rsid w:val="01462EFE"/>
    <w:rsid w:val="015E0BE9"/>
    <w:rsid w:val="01604E60"/>
    <w:rsid w:val="01675EC8"/>
    <w:rsid w:val="01812B89"/>
    <w:rsid w:val="018F1416"/>
    <w:rsid w:val="01A857AA"/>
    <w:rsid w:val="01AB094A"/>
    <w:rsid w:val="01AE21DC"/>
    <w:rsid w:val="01B306E4"/>
    <w:rsid w:val="01D27A5F"/>
    <w:rsid w:val="01DA0497"/>
    <w:rsid w:val="01F6374D"/>
    <w:rsid w:val="01FB1984"/>
    <w:rsid w:val="0201766A"/>
    <w:rsid w:val="020F09B3"/>
    <w:rsid w:val="02142A52"/>
    <w:rsid w:val="02151F95"/>
    <w:rsid w:val="0225793B"/>
    <w:rsid w:val="022E47B0"/>
    <w:rsid w:val="02554999"/>
    <w:rsid w:val="02574326"/>
    <w:rsid w:val="025B75F9"/>
    <w:rsid w:val="02767EF6"/>
    <w:rsid w:val="029D7FA8"/>
    <w:rsid w:val="02B34E07"/>
    <w:rsid w:val="02B43EF4"/>
    <w:rsid w:val="02BB7BEC"/>
    <w:rsid w:val="02BC3837"/>
    <w:rsid w:val="02DD1CD3"/>
    <w:rsid w:val="02E818F1"/>
    <w:rsid w:val="02FC5711"/>
    <w:rsid w:val="030F5EB8"/>
    <w:rsid w:val="031B3D3A"/>
    <w:rsid w:val="03300F14"/>
    <w:rsid w:val="03382F46"/>
    <w:rsid w:val="033A53C5"/>
    <w:rsid w:val="033D7365"/>
    <w:rsid w:val="034140B1"/>
    <w:rsid w:val="03446D0A"/>
    <w:rsid w:val="03760021"/>
    <w:rsid w:val="037C375A"/>
    <w:rsid w:val="037C5BED"/>
    <w:rsid w:val="03871F70"/>
    <w:rsid w:val="038E73DC"/>
    <w:rsid w:val="0390405E"/>
    <w:rsid w:val="03915486"/>
    <w:rsid w:val="039B0F0F"/>
    <w:rsid w:val="03A40856"/>
    <w:rsid w:val="03A730F0"/>
    <w:rsid w:val="03AC2CA7"/>
    <w:rsid w:val="03AE2B70"/>
    <w:rsid w:val="03B45494"/>
    <w:rsid w:val="03C200B6"/>
    <w:rsid w:val="03D81924"/>
    <w:rsid w:val="03DF28F3"/>
    <w:rsid w:val="03E9024B"/>
    <w:rsid w:val="03E925DE"/>
    <w:rsid w:val="03F638B5"/>
    <w:rsid w:val="03FF71C6"/>
    <w:rsid w:val="040C4F8C"/>
    <w:rsid w:val="04177011"/>
    <w:rsid w:val="042B188D"/>
    <w:rsid w:val="04314521"/>
    <w:rsid w:val="043A302C"/>
    <w:rsid w:val="043F479D"/>
    <w:rsid w:val="0451641C"/>
    <w:rsid w:val="046A03D5"/>
    <w:rsid w:val="046C35A2"/>
    <w:rsid w:val="0485355C"/>
    <w:rsid w:val="04884422"/>
    <w:rsid w:val="048C730F"/>
    <w:rsid w:val="0492209E"/>
    <w:rsid w:val="04AC4C6E"/>
    <w:rsid w:val="04B345F7"/>
    <w:rsid w:val="04BE7DD0"/>
    <w:rsid w:val="04C550B7"/>
    <w:rsid w:val="04DF1AEA"/>
    <w:rsid w:val="04E06C91"/>
    <w:rsid w:val="04EB3650"/>
    <w:rsid w:val="04F92EC2"/>
    <w:rsid w:val="050D0125"/>
    <w:rsid w:val="051F57F4"/>
    <w:rsid w:val="053674E2"/>
    <w:rsid w:val="054445DB"/>
    <w:rsid w:val="05526421"/>
    <w:rsid w:val="055A06C9"/>
    <w:rsid w:val="056263D6"/>
    <w:rsid w:val="05702DF2"/>
    <w:rsid w:val="05733EFD"/>
    <w:rsid w:val="058B4F67"/>
    <w:rsid w:val="058B581F"/>
    <w:rsid w:val="058D2653"/>
    <w:rsid w:val="05930449"/>
    <w:rsid w:val="059C073F"/>
    <w:rsid w:val="05A11E98"/>
    <w:rsid w:val="05A2249A"/>
    <w:rsid w:val="05A67D15"/>
    <w:rsid w:val="05EA3121"/>
    <w:rsid w:val="05EB37CA"/>
    <w:rsid w:val="05EF39F0"/>
    <w:rsid w:val="05F12171"/>
    <w:rsid w:val="060D79A1"/>
    <w:rsid w:val="060E0069"/>
    <w:rsid w:val="060E00E0"/>
    <w:rsid w:val="06257099"/>
    <w:rsid w:val="06365C0B"/>
    <w:rsid w:val="0637179F"/>
    <w:rsid w:val="064A751F"/>
    <w:rsid w:val="064B62DC"/>
    <w:rsid w:val="06635B0D"/>
    <w:rsid w:val="066441C3"/>
    <w:rsid w:val="06646933"/>
    <w:rsid w:val="067751BD"/>
    <w:rsid w:val="067F7DB1"/>
    <w:rsid w:val="06AC2F9E"/>
    <w:rsid w:val="06AF0BCC"/>
    <w:rsid w:val="06B87B02"/>
    <w:rsid w:val="06C00728"/>
    <w:rsid w:val="06C467EF"/>
    <w:rsid w:val="06C531CE"/>
    <w:rsid w:val="06CF7159"/>
    <w:rsid w:val="06D32D7E"/>
    <w:rsid w:val="06DB55F7"/>
    <w:rsid w:val="06E21138"/>
    <w:rsid w:val="06E64C63"/>
    <w:rsid w:val="06F24EF2"/>
    <w:rsid w:val="06F77157"/>
    <w:rsid w:val="07212CF9"/>
    <w:rsid w:val="07355090"/>
    <w:rsid w:val="07470651"/>
    <w:rsid w:val="07493989"/>
    <w:rsid w:val="075815C4"/>
    <w:rsid w:val="075D44E8"/>
    <w:rsid w:val="07AE7932"/>
    <w:rsid w:val="07B814E5"/>
    <w:rsid w:val="07D013A8"/>
    <w:rsid w:val="07D05651"/>
    <w:rsid w:val="07D648D8"/>
    <w:rsid w:val="07F65E31"/>
    <w:rsid w:val="07FD44E9"/>
    <w:rsid w:val="07FE0291"/>
    <w:rsid w:val="0805407D"/>
    <w:rsid w:val="080B2898"/>
    <w:rsid w:val="080B3B19"/>
    <w:rsid w:val="08127126"/>
    <w:rsid w:val="08132E8B"/>
    <w:rsid w:val="081D706E"/>
    <w:rsid w:val="084808B7"/>
    <w:rsid w:val="08586D3D"/>
    <w:rsid w:val="085A4B9F"/>
    <w:rsid w:val="085D519A"/>
    <w:rsid w:val="086D1BC3"/>
    <w:rsid w:val="08706B4B"/>
    <w:rsid w:val="08857880"/>
    <w:rsid w:val="088B79C8"/>
    <w:rsid w:val="088D0913"/>
    <w:rsid w:val="08C673B3"/>
    <w:rsid w:val="08C7416F"/>
    <w:rsid w:val="08C9030E"/>
    <w:rsid w:val="08C94E52"/>
    <w:rsid w:val="08CE61CB"/>
    <w:rsid w:val="08D2064E"/>
    <w:rsid w:val="08DD2D3C"/>
    <w:rsid w:val="08F44BC5"/>
    <w:rsid w:val="08FA203B"/>
    <w:rsid w:val="09007005"/>
    <w:rsid w:val="0911673C"/>
    <w:rsid w:val="091F31A7"/>
    <w:rsid w:val="093F71F6"/>
    <w:rsid w:val="094B14E7"/>
    <w:rsid w:val="095256C8"/>
    <w:rsid w:val="09565920"/>
    <w:rsid w:val="09780066"/>
    <w:rsid w:val="09A3492C"/>
    <w:rsid w:val="09A57975"/>
    <w:rsid w:val="09AB18BD"/>
    <w:rsid w:val="09AB29D4"/>
    <w:rsid w:val="09B264B8"/>
    <w:rsid w:val="09D31243"/>
    <w:rsid w:val="09DE1743"/>
    <w:rsid w:val="09FB5F6B"/>
    <w:rsid w:val="0A1565F2"/>
    <w:rsid w:val="0A32370E"/>
    <w:rsid w:val="0A3247B9"/>
    <w:rsid w:val="0A3A2B0E"/>
    <w:rsid w:val="0A3C1414"/>
    <w:rsid w:val="0A4D77EE"/>
    <w:rsid w:val="0A585A2D"/>
    <w:rsid w:val="0A594E3E"/>
    <w:rsid w:val="0A5C768D"/>
    <w:rsid w:val="0A5D62D4"/>
    <w:rsid w:val="0A5E4CD6"/>
    <w:rsid w:val="0A656753"/>
    <w:rsid w:val="0A6F50FD"/>
    <w:rsid w:val="0A7D21CE"/>
    <w:rsid w:val="0A7E1124"/>
    <w:rsid w:val="0A934843"/>
    <w:rsid w:val="0A980D85"/>
    <w:rsid w:val="0A9E4A8D"/>
    <w:rsid w:val="0A9F2012"/>
    <w:rsid w:val="0AA27CFB"/>
    <w:rsid w:val="0AAA6D9C"/>
    <w:rsid w:val="0AB53627"/>
    <w:rsid w:val="0ABA7DFE"/>
    <w:rsid w:val="0ABB4F01"/>
    <w:rsid w:val="0AC10A13"/>
    <w:rsid w:val="0ACE1EAB"/>
    <w:rsid w:val="0AD171C9"/>
    <w:rsid w:val="0ADF1040"/>
    <w:rsid w:val="0AE57C7B"/>
    <w:rsid w:val="0AE57FB0"/>
    <w:rsid w:val="0AE65CB9"/>
    <w:rsid w:val="0AE87F4F"/>
    <w:rsid w:val="0AE96B11"/>
    <w:rsid w:val="0AEA5221"/>
    <w:rsid w:val="0AF42B5F"/>
    <w:rsid w:val="0AF450E7"/>
    <w:rsid w:val="0AFD09EB"/>
    <w:rsid w:val="0AFF05E6"/>
    <w:rsid w:val="0B07538C"/>
    <w:rsid w:val="0B1A274D"/>
    <w:rsid w:val="0B254ED4"/>
    <w:rsid w:val="0B2E5D46"/>
    <w:rsid w:val="0B3A4E5B"/>
    <w:rsid w:val="0B536C32"/>
    <w:rsid w:val="0B5823AA"/>
    <w:rsid w:val="0B595FAD"/>
    <w:rsid w:val="0B722B08"/>
    <w:rsid w:val="0B827907"/>
    <w:rsid w:val="0B8849CF"/>
    <w:rsid w:val="0B8C4C1A"/>
    <w:rsid w:val="0B9549DB"/>
    <w:rsid w:val="0B9D13EC"/>
    <w:rsid w:val="0BA07E46"/>
    <w:rsid w:val="0BA834A7"/>
    <w:rsid w:val="0BC032D6"/>
    <w:rsid w:val="0BC10793"/>
    <w:rsid w:val="0BC40927"/>
    <w:rsid w:val="0BD17E42"/>
    <w:rsid w:val="0BD7775C"/>
    <w:rsid w:val="0BDB1E35"/>
    <w:rsid w:val="0BDB6546"/>
    <w:rsid w:val="0BF52B11"/>
    <w:rsid w:val="0C1435FE"/>
    <w:rsid w:val="0C1541AA"/>
    <w:rsid w:val="0C195365"/>
    <w:rsid w:val="0C6F4E58"/>
    <w:rsid w:val="0C807138"/>
    <w:rsid w:val="0C9038BA"/>
    <w:rsid w:val="0C965368"/>
    <w:rsid w:val="0CA5047D"/>
    <w:rsid w:val="0CC01384"/>
    <w:rsid w:val="0CFA665D"/>
    <w:rsid w:val="0CFB1DB9"/>
    <w:rsid w:val="0D08071E"/>
    <w:rsid w:val="0D220294"/>
    <w:rsid w:val="0D3607DC"/>
    <w:rsid w:val="0D3A4A42"/>
    <w:rsid w:val="0D5773D6"/>
    <w:rsid w:val="0D594DB6"/>
    <w:rsid w:val="0D624EF7"/>
    <w:rsid w:val="0D631A5D"/>
    <w:rsid w:val="0D632B1E"/>
    <w:rsid w:val="0D690D25"/>
    <w:rsid w:val="0D703D4A"/>
    <w:rsid w:val="0D735D87"/>
    <w:rsid w:val="0D7A335C"/>
    <w:rsid w:val="0D7C205F"/>
    <w:rsid w:val="0D7D7848"/>
    <w:rsid w:val="0D8E173E"/>
    <w:rsid w:val="0DA10A04"/>
    <w:rsid w:val="0DBB65B9"/>
    <w:rsid w:val="0DF13B47"/>
    <w:rsid w:val="0DF33D23"/>
    <w:rsid w:val="0E0406CA"/>
    <w:rsid w:val="0E0A5187"/>
    <w:rsid w:val="0E332166"/>
    <w:rsid w:val="0E3917FF"/>
    <w:rsid w:val="0E3C303C"/>
    <w:rsid w:val="0E501A5E"/>
    <w:rsid w:val="0E613656"/>
    <w:rsid w:val="0E72787E"/>
    <w:rsid w:val="0E7665D7"/>
    <w:rsid w:val="0E8E18D7"/>
    <w:rsid w:val="0E9F5739"/>
    <w:rsid w:val="0EA16314"/>
    <w:rsid w:val="0EA544B5"/>
    <w:rsid w:val="0EBC0841"/>
    <w:rsid w:val="0EBF7E3F"/>
    <w:rsid w:val="0EC3008E"/>
    <w:rsid w:val="0ECE31B6"/>
    <w:rsid w:val="0ED34C89"/>
    <w:rsid w:val="0EDB339F"/>
    <w:rsid w:val="0EF07E6C"/>
    <w:rsid w:val="0F125211"/>
    <w:rsid w:val="0F152A9D"/>
    <w:rsid w:val="0F1E7B0D"/>
    <w:rsid w:val="0F62047F"/>
    <w:rsid w:val="0F6B41F3"/>
    <w:rsid w:val="0F703058"/>
    <w:rsid w:val="0F734943"/>
    <w:rsid w:val="0F795535"/>
    <w:rsid w:val="0F7A2097"/>
    <w:rsid w:val="0F7F1100"/>
    <w:rsid w:val="0F816B6A"/>
    <w:rsid w:val="0F82210C"/>
    <w:rsid w:val="0F950757"/>
    <w:rsid w:val="0FA36B70"/>
    <w:rsid w:val="0FA37671"/>
    <w:rsid w:val="0FAC2C6D"/>
    <w:rsid w:val="0FB2394D"/>
    <w:rsid w:val="0FB70395"/>
    <w:rsid w:val="0FBA4112"/>
    <w:rsid w:val="0FBA7A40"/>
    <w:rsid w:val="0FBB10D0"/>
    <w:rsid w:val="0FC76383"/>
    <w:rsid w:val="0FCF0D56"/>
    <w:rsid w:val="0FD554F0"/>
    <w:rsid w:val="0FDA6A10"/>
    <w:rsid w:val="0FE84CBD"/>
    <w:rsid w:val="0FEB3AA8"/>
    <w:rsid w:val="0FF411B5"/>
    <w:rsid w:val="0FF6424F"/>
    <w:rsid w:val="10040C3F"/>
    <w:rsid w:val="100B59FA"/>
    <w:rsid w:val="10110CDB"/>
    <w:rsid w:val="10202109"/>
    <w:rsid w:val="10206D1E"/>
    <w:rsid w:val="10486439"/>
    <w:rsid w:val="105231E4"/>
    <w:rsid w:val="10581794"/>
    <w:rsid w:val="105F040B"/>
    <w:rsid w:val="107A5169"/>
    <w:rsid w:val="107B4EBF"/>
    <w:rsid w:val="107C4D2C"/>
    <w:rsid w:val="10881C30"/>
    <w:rsid w:val="108A6F8A"/>
    <w:rsid w:val="10A32DF1"/>
    <w:rsid w:val="10A50D79"/>
    <w:rsid w:val="10AB24DF"/>
    <w:rsid w:val="10D653BA"/>
    <w:rsid w:val="10DB6356"/>
    <w:rsid w:val="10EF5ED1"/>
    <w:rsid w:val="111D3999"/>
    <w:rsid w:val="112A5200"/>
    <w:rsid w:val="112B7604"/>
    <w:rsid w:val="112C26FA"/>
    <w:rsid w:val="11306888"/>
    <w:rsid w:val="11334713"/>
    <w:rsid w:val="113448FA"/>
    <w:rsid w:val="11392155"/>
    <w:rsid w:val="113F1627"/>
    <w:rsid w:val="115675D1"/>
    <w:rsid w:val="115C21C0"/>
    <w:rsid w:val="1168799E"/>
    <w:rsid w:val="11886383"/>
    <w:rsid w:val="11890B73"/>
    <w:rsid w:val="11945663"/>
    <w:rsid w:val="11A64DBC"/>
    <w:rsid w:val="11AF324A"/>
    <w:rsid w:val="11B412CF"/>
    <w:rsid w:val="11C94B39"/>
    <w:rsid w:val="11D57FF6"/>
    <w:rsid w:val="11E824A4"/>
    <w:rsid w:val="11EA0026"/>
    <w:rsid w:val="11FA3D21"/>
    <w:rsid w:val="11FD67BF"/>
    <w:rsid w:val="12206210"/>
    <w:rsid w:val="1228310E"/>
    <w:rsid w:val="12325B1D"/>
    <w:rsid w:val="1244691E"/>
    <w:rsid w:val="1251591B"/>
    <w:rsid w:val="12555F1C"/>
    <w:rsid w:val="12610602"/>
    <w:rsid w:val="12641F7B"/>
    <w:rsid w:val="1269339E"/>
    <w:rsid w:val="126B461E"/>
    <w:rsid w:val="1270050B"/>
    <w:rsid w:val="127D72F2"/>
    <w:rsid w:val="12943772"/>
    <w:rsid w:val="129D06D6"/>
    <w:rsid w:val="12A908D3"/>
    <w:rsid w:val="12AA7F02"/>
    <w:rsid w:val="12CA5C10"/>
    <w:rsid w:val="12D17916"/>
    <w:rsid w:val="12DE33CA"/>
    <w:rsid w:val="12EE6B97"/>
    <w:rsid w:val="12FF52DE"/>
    <w:rsid w:val="130267DA"/>
    <w:rsid w:val="13207705"/>
    <w:rsid w:val="13277105"/>
    <w:rsid w:val="13344C16"/>
    <w:rsid w:val="1343505A"/>
    <w:rsid w:val="13544A6B"/>
    <w:rsid w:val="135774B6"/>
    <w:rsid w:val="13780329"/>
    <w:rsid w:val="137A40BD"/>
    <w:rsid w:val="13910B1E"/>
    <w:rsid w:val="13981BF4"/>
    <w:rsid w:val="139C3FE2"/>
    <w:rsid w:val="13A1765A"/>
    <w:rsid w:val="13B32766"/>
    <w:rsid w:val="13B563DA"/>
    <w:rsid w:val="13B84D61"/>
    <w:rsid w:val="13BD31AB"/>
    <w:rsid w:val="13CD27B6"/>
    <w:rsid w:val="13D87D5C"/>
    <w:rsid w:val="13E532CA"/>
    <w:rsid w:val="13ED0B0B"/>
    <w:rsid w:val="13ED7D7F"/>
    <w:rsid w:val="14176353"/>
    <w:rsid w:val="141F7FB3"/>
    <w:rsid w:val="14242FDA"/>
    <w:rsid w:val="14426018"/>
    <w:rsid w:val="14436E72"/>
    <w:rsid w:val="144F55C3"/>
    <w:rsid w:val="1450322B"/>
    <w:rsid w:val="14637D36"/>
    <w:rsid w:val="14736556"/>
    <w:rsid w:val="147E33CA"/>
    <w:rsid w:val="147E64C2"/>
    <w:rsid w:val="1487373C"/>
    <w:rsid w:val="14960C1B"/>
    <w:rsid w:val="14B0700C"/>
    <w:rsid w:val="14C02505"/>
    <w:rsid w:val="14C34089"/>
    <w:rsid w:val="14D858F4"/>
    <w:rsid w:val="14DB33FC"/>
    <w:rsid w:val="14DE0AFC"/>
    <w:rsid w:val="14DF0A9B"/>
    <w:rsid w:val="14E23E9C"/>
    <w:rsid w:val="14F44F2E"/>
    <w:rsid w:val="150539C4"/>
    <w:rsid w:val="15296D7A"/>
    <w:rsid w:val="152C2024"/>
    <w:rsid w:val="15416178"/>
    <w:rsid w:val="154F0E86"/>
    <w:rsid w:val="155D38A9"/>
    <w:rsid w:val="155F0060"/>
    <w:rsid w:val="1561603B"/>
    <w:rsid w:val="1576054B"/>
    <w:rsid w:val="158F48E5"/>
    <w:rsid w:val="159F786C"/>
    <w:rsid w:val="15A019B7"/>
    <w:rsid w:val="15A34322"/>
    <w:rsid w:val="15B5333A"/>
    <w:rsid w:val="15BE55E6"/>
    <w:rsid w:val="15C94A90"/>
    <w:rsid w:val="15CB29B5"/>
    <w:rsid w:val="15D267E2"/>
    <w:rsid w:val="15D74588"/>
    <w:rsid w:val="15E07D76"/>
    <w:rsid w:val="15EB4378"/>
    <w:rsid w:val="15FD7798"/>
    <w:rsid w:val="160B185E"/>
    <w:rsid w:val="161059D3"/>
    <w:rsid w:val="161334A9"/>
    <w:rsid w:val="16172700"/>
    <w:rsid w:val="1628036C"/>
    <w:rsid w:val="16283C78"/>
    <w:rsid w:val="16356835"/>
    <w:rsid w:val="16373977"/>
    <w:rsid w:val="16435A3F"/>
    <w:rsid w:val="16704155"/>
    <w:rsid w:val="16796F0F"/>
    <w:rsid w:val="1688556A"/>
    <w:rsid w:val="168A3793"/>
    <w:rsid w:val="16A00FDF"/>
    <w:rsid w:val="16A32AAC"/>
    <w:rsid w:val="16A602FA"/>
    <w:rsid w:val="16AD0D52"/>
    <w:rsid w:val="16AF0615"/>
    <w:rsid w:val="16BD0B49"/>
    <w:rsid w:val="16BE212C"/>
    <w:rsid w:val="16D50CFC"/>
    <w:rsid w:val="16E33AB3"/>
    <w:rsid w:val="16EB76EF"/>
    <w:rsid w:val="171B0546"/>
    <w:rsid w:val="172D32DE"/>
    <w:rsid w:val="17304A49"/>
    <w:rsid w:val="1731697D"/>
    <w:rsid w:val="173353C2"/>
    <w:rsid w:val="173B76F3"/>
    <w:rsid w:val="17551C37"/>
    <w:rsid w:val="175D177A"/>
    <w:rsid w:val="17607554"/>
    <w:rsid w:val="176E1BAD"/>
    <w:rsid w:val="177616EF"/>
    <w:rsid w:val="17770E2E"/>
    <w:rsid w:val="17786C15"/>
    <w:rsid w:val="17874ED3"/>
    <w:rsid w:val="17886A2C"/>
    <w:rsid w:val="178C5369"/>
    <w:rsid w:val="178F26E7"/>
    <w:rsid w:val="1791632F"/>
    <w:rsid w:val="17966843"/>
    <w:rsid w:val="17A9660F"/>
    <w:rsid w:val="17B26217"/>
    <w:rsid w:val="17B7246B"/>
    <w:rsid w:val="17C21C5F"/>
    <w:rsid w:val="17C50EC0"/>
    <w:rsid w:val="17C71861"/>
    <w:rsid w:val="17D11BCA"/>
    <w:rsid w:val="17D80F4C"/>
    <w:rsid w:val="17DF30CF"/>
    <w:rsid w:val="17E14521"/>
    <w:rsid w:val="18002CEE"/>
    <w:rsid w:val="18024055"/>
    <w:rsid w:val="18117661"/>
    <w:rsid w:val="182D61BD"/>
    <w:rsid w:val="18417519"/>
    <w:rsid w:val="18523ADE"/>
    <w:rsid w:val="185352EF"/>
    <w:rsid w:val="1855376D"/>
    <w:rsid w:val="1866694B"/>
    <w:rsid w:val="18695AD1"/>
    <w:rsid w:val="186C1ACE"/>
    <w:rsid w:val="18733C17"/>
    <w:rsid w:val="1875028D"/>
    <w:rsid w:val="18855695"/>
    <w:rsid w:val="188C6558"/>
    <w:rsid w:val="188C6C7D"/>
    <w:rsid w:val="18960812"/>
    <w:rsid w:val="189C7EF6"/>
    <w:rsid w:val="18A2454D"/>
    <w:rsid w:val="18B04B4D"/>
    <w:rsid w:val="18E87E12"/>
    <w:rsid w:val="18F5052C"/>
    <w:rsid w:val="190B3022"/>
    <w:rsid w:val="19126946"/>
    <w:rsid w:val="191D14D9"/>
    <w:rsid w:val="19353157"/>
    <w:rsid w:val="19693EEF"/>
    <w:rsid w:val="196B5F41"/>
    <w:rsid w:val="19786EDF"/>
    <w:rsid w:val="198D6055"/>
    <w:rsid w:val="199E1733"/>
    <w:rsid w:val="19A60417"/>
    <w:rsid w:val="19AA3328"/>
    <w:rsid w:val="19D1732F"/>
    <w:rsid w:val="19D505FC"/>
    <w:rsid w:val="19E3218E"/>
    <w:rsid w:val="19F6080B"/>
    <w:rsid w:val="19FA6E72"/>
    <w:rsid w:val="19FB705A"/>
    <w:rsid w:val="1A086D33"/>
    <w:rsid w:val="1A1C7B3F"/>
    <w:rsid w:val="1A1F3FD5"/>
    <w:rsid w:val="1A200A74"/>
    <w:rsid w:val="1A214283"/>
    <w:rsid w:val="1A2F2398"/>
    <w:rsid w:val="1A3055B8"/>
    <w:rsid w:val="1A33025B"/>
    <w:rsid w:val="1A3C21DE"/>
    <w:rsid w:val="1A5655AF"/>
    <w:rsid w:val="1A596E54"/>
    <w:rsid w:val="1A6656F5"/>
    <w:rsid w:val="1A6B5CD7"/>
    <w:rsid w:val="1A7A6856"/>
    <w:rsid w:val="1A7D574E"/>
    <w:rsid w:val="1A964DBD"/>
    <w:rsid w:val="1A9B675D"/>
    <w:rsid w:val="1A9D3722"/>
    <w:rsid w:val="1AA15844"/>
    <w:rsid w:val="1AB838DA"/>
    <w:rsid w:val="1AD12738"/>
    <w:rsid w:val="1ADE3E70"/>
    <w:rsid w:val="1AE42348"/>
    <w:rsid w:val="1AF10B1E"/>
    <w:rsid w:val="1AF2383D"/>
    <w:rsid w:val="1AF637E8"/>
    <w:rsid w:val="1B142EC2"/>
    <w:rsid w:val="1B157C1A"/>
    <w:rsid w:val="1B18309B"/>
    <w:rsid w:val="1B1A41C6"/>
    <w:rsid w:val="1B211C8A"/>
    <w:rsid w:val="1B325062"/>
    <w:rsid w:val="1B524130"/>
    <w:rsid w:val="1B5734B2"/>
    <w:rsid w:val="1B5D6081"/>
    <w:rsid w:val="1B704C75"/>
    <w:rsid w:val="1B797B22"/>
    <w:rsid w:val="1B932A95"/>
    <w:rsid w:val="1B99173F"/>
    <w:rsid w:val="1B9E5782"/>
    <w:rsid w:val="1B9F2F5B"/>
    <w:rsid w:val="1BA3161F"/>
    <w:rsid w:val="1BA31D38"/>
    <w:rsid w:val="1BB15A38"/>
    <w:rsid w:val="1BB32D92"/>
    <w:rsid w:val="1BBA5362"/>
    <w:rsid w:val="1BCA4E13"/>
    <w:rsid w:val="1BE45BB2"/>
    <w:rsid w:val="1BE67B21"/>
    <w:rsid w:val="1BE75134"/>
    <w:rsid w:val="1BEB39AC"/>
    <w:rsid w:val="1BF93919"/>
    <w:rsid w:val="1C13677A"/>
    <w:rsid w:val="1C283440"/>
    <w:rsid w:val="1C3C5A93"/>
    <w:rsid w:val="1C3D2E04"/>
    <w:rsid w:val="1C3D5C01"/>
    <w:rsid w:val="1C4852DE"/>
    <w:rsid w:val="1C4D45E0"/>
    <w:rsid w:val="1C622843"/>
    <w:rsid w:val="1C796F99"/>
    <w:rsid w:val="1C8C420B"/>
    <w:rsid w:val="1C956DAD"/>
    <w:rsid w:val="1C9E7A69"/>
    <w:rsid w:val="1CA871FF"/>
    <w:rsid w:val="1CB701AA"/>
    <w:rsid w:val="1CC207D7"/>
    <w:rsid w:val="1CCA0F66"/>
    <w:rsid w:val="1CDE446D"/>
    <w:rsid w:val="1CE20210"/>
    <w:rsid w:val="1CE57D7C"/>
    <w:rsid w:val="1D1E39BB"/>
    <w:rsid w:val="1D2861A7"/>
    <w:rsid w:val="1D2A205C"/>
    <w:rsid w:val="1D376839"/>
    <w:rsid w:val="1D464FEE"/>
    <w:rsid w:val="1D512EC4"/>
    <w:rsid w:val="1D516316"/>
    <w:rsid w:val="1D5247B9"/>
    <w:rsid w:val="1D644902"/>
    <w:rsid w:val="1D6B4AB9"/>
    <w:rsid w:val="1D770C21"/>
    <w:rsid w:val="1D815CF7"/>
    <w:rsid w:val="1D8C2BA2"/>
    <w:rsid w:val="1D905228"/>
    <w:rsid w:val="1D986564"/>
    <w:rsid w:val="1DCB6A81"/>
    <w:rsid w:val="1DCC2895"/>
    <w:rsid w:val="1DEC0D25"/>
    <w:rsid w:val="1DF24DA6"/>
    <w:rsid w:val="1DF43659"/>
    <w:rsid w:val="1DFC21EE"/>
    <w:rsid w:val="1E0B084C"/>
    <w:rsid w:val="1E4473F8"/>
    <w:rsid w:val="1E490459"/>
    <w:rsid w:val="1E50751B"/>
    <w:rsid w:val="1E545B82"/>
    <w:rsid w:val="1E615504"/>
    <w:rsid w:val="1E633F97"/>
    <w:rsid w:val="1E6D1C74"/>
    <w:rsid w:val="1E736E4E"/>
    <w:rsid w:val="1E7E5EB1"/>
    <w:rsid w:val="1E942316"/>
    <w:rsid w:val="1E9B5CC6"/>
    <w:rsid w:val="1EA129CA"/>
    <w:rsid w:val="1EA61B83"/>
    <w:rsid w:val="1EA82227"/>
    <w:rsid w:val="1EAA7F60"/>
    <w:rsid w:val="1EAD188D"/>
    <w:rsid w:val="1EBF48D5"/>
    <w:rsid w:val="1ED67562"/>
    <w:rsid w:val="1ED87053"/>
    <w:rsid w:val="1EE45994"/>
    <w:rsid w:val="1EF23920"/>
    <w:rsid w:val="1EFD1BA0"/>
    <w:rsid w:val="1F234826"/>
    <w:rsid w:val="1F282079"/>
    <w:rsid w:val="1F31288B"/>
    <w:rsid w:val="1F46170F"/>
    <w:rsid w:val="1F4773C4"/>
    <w:rsid w:val="1F544288"/>
    <w:rsid w:val="1F5E0D38"/>
    <w:rsid w:val="1F5E50F9"/>
    <w:rsid w:val="1F5F4414"/>
    <w:rsid w:val="1F734653"/>
    <w:rsid w:val="1F826970"/>
    <w:rsid w:val="1F972A67"/>
    <w:rsid w:val="1FA317AB"/>
    <w:rsid w:val="1FB24BB6"/>
    <w:rsid w:val="1FBF07C7"/>
    <w:rsid w:val="1FCB673D"/>
    <w:rsid w:val="1FD4483E"/>
    <w:rsid w:val="1FEE648E"/>
    <w:rsid w:val="1FF433BA"/>
    <w:rsid w:val="1FF9202F"/>
    <w:rsid w:val="20003026"/>
    <w:rsid w:val="20023248"/>
    <w:rsid w:val="2007268B"/>
    <w:rsid w:val="200E1BE9"/>
    <w:rsid w:val="200F3B23"/>
    <w:rsid w:val="201967D7"/>
    <w:rsid w:val="20207172"/>
    <w:rsid w:val="20374786"/>
    <w:rsid w:val="2039386F"/>
    <w:rsid w:val="204A6AED"/>
    <w:rsid w:val="205A0DCC"/>
    <w:rsid w:val="205E4F6E"/>
    <w:rsid w:val="20601C10"/>
    <w:rsid w:val="206E6FCB"/>
    <w:rsid w:val="20757C7B"/>
    <w:rsid w:val="20824D32"/>
    <w:rsid w:val="208B5C61"/>
    <w:rsid w:val="20920CDA"/>
    <w:rsid w:val="20A13861"/>
    <w:rsid w:val="20B53392"/>
    <w:rsid w:val="20BB0C31"/>
    <w:rsid w:val="20CF37FC"/>
    <w:rsid w:val="20D717F3"/>
    <w:rsid w:val="20E54719"/>
    <w:rsid w:val="20F12135"/>
    <w:rsid w:val="20F90AAC"/>
    <w:rsid w:val="20FA405B"/>
    <w:rsid w:val="210A4280"/>
    <w:rsid w:val="212456E3"/>
    <w:rsid w:val="2127702C"/>
    <w:rsid w:val="212B616E"/>
    <w:rsid w:val="213121BA"/>
    <w:rsid w:val="21476EF3"/>
    <w:rsid w:val="214A2960"/>
    <w:rsid w:val="215302B9"/>
    <w:rsid w:val="217909B1"/>
    <w:rsid w:val="21831373"/>
    <w:rsid w:val="218E4A09"/>
    <w:rsid w:val="218E6399"/>
    <w:rsid w:val="21A26FC2"/>
    <w:rsid w:val="21C2743B"/>
    <w:rsid w:val="21CA2A4F"/>
    <w:rsid w:val="21CB2727"/>
    <w:rsid w:val="21DF3292"/>
    <w:rsid w:val="221D08F3"/>
    <w:rsid w:val="221D3931"/>
    <w:rsid w:val="2229623B"/>
    <w:rsid w:val="22322780"/>
    <w:rsid w:val="22381B39"/>
    <w:rsid w:val="22477192"/>
    <w:rsid w:val="224C2951"/>
    <w:rsid w:val="227A54E3"/>
    <w:rsid w:val="22865CFC"/>
    <w:rsid w:val="228C373A"/>
    <w:rsid w:val="228F19CE"/>
    <w:rsid w:val="22BD3256"/>
    <w:rsid w:val="22D07449"/>
    <w:rsid w:val="230B248C"/>
    <w:rsid w:val="231E3ED2"/>
    <w:rsid w:val="23210D0F"/>
    <w:rsid w:val="2324698F"/>
    <w:rsid w:val="234421C7"/>
    <w:rsid w:val="23537C14"/>
    <w:rsid w:val="23664088"/>
    <w:rsid w:val="23700EEA"/>
    <w:rsid w:val="23840B24"/>
    <w:rsid w:val="238C42D2"/>
    <w:rsid w:val="2393048F"/>
    <w:rsid w:val="239E3C8F"/>
    <w:rsid w:val="23A06B4E"/>
    <w:rsid w:val="23A40CCF"/>
    <w:rsid w:val="23C70EDA"/>
    <w:rsid w:val="23D4064E"/>
    <w:rsid w:val="23E47851"/>
    <w:rsid w:val="23E67242"/>
    <w:rsid w:val="23EF519C"/>
    <w:rsid w:val="23FB3A7A"/>
    <w:rsid w:val="2419739B"/>
    <w:rsid w:val="241D0231"/>
    <w:rsid w:val="24351B4F"/>
    <w:rsid w:val="24576A62"/>
    <w:rsid w:val="246E76BE"/>
    <w:rsid w:val="24762507"/>
    <w:rsid w:val="24863B93"/>
    <w:rsid w:val="248E65E2"/>
    <w:rsid w:val="24B346B5"/>
    <w:rsid w:val="24B606B7"/>
    <w:rsid w:val="24DA59DC"/>
    <w:rsid w:val="24EC3BCA"/>
    <w:rsid w:val="24EF6448"/>
    <w:rsid w:val="24F71B8F"/>
    <w:rsid w:val="24F92CDE"/>
    <w:rsid w:val="2503180A"/>
    <w:rsid w:val="250C0B5D"/>
    <w:rsid w:val="25335BFF"/>
    <w:rsid w:val="253D4E51"/>
    <w:rsid w:val="25462DA6"/>
    <w:rsid w:val="257D1852"/>
    <w:rsid w:val="25893EFE"/>
    <w:rsid w:val="258E5458"/>
    <w:rsid w:val="259D3524"/>
    <w:rsid w:val="25A627CF"/>
    <w:rsid w:val="25B36FF8"/>
    <w:rsid w:val="25BE6749"/>
    <w:rsid w:val="25DE0185"/>
    <w:rsid w:val="25E04003"/>
    <w:rsid w:val="25EE6875"/>
    <w:rsid w:val="25FD346F"/>
    <w:rsid w:val="260069B3"/>
    <w:rsid w:val="26006E86"/>
    <w:rsid w:val="260A6745"/>
    <w:rsid w:val="260C334C"/>
    <w:rsid w:val="26150349"/>
    <w:rsid w:val="26276BC7"/>
    <w:rsid w:val="26412189"/>
    <w:rsid w:val="26517452"/>
    <w:rsid w:val="26566E1C"/>
    <w:rsid w:val="26876FB0"/>
    <w:rsid w:val="269171E1"/>
    <w:rsid w:val="26A10A64"/>
    <w:rsid w:val="26A24282"/>
    <w:rsid w:val="26BB6790"/>
    <w:rsid w:val="26C31398"/>
    <w:rsid w:val="26C55ACD"/>
    <w:rsid w:val="26C765D1"/>
    <w:rsid w:val="26C84C3F"/>
    <w:rsid w:val="26CA39FA"/>
    <w:rsid w:val="26DB2072"/>
    <w:rsid w:val="2707138C"/>
    <w:rsid w:val="270B135C"/>
    <w:rsid w:val="270F1235"/>
    <w:rsid w:val="27113562"/>
    <w:rsid w:val="271D238B"/>
    <w:rsid w:val="271F0CF7"/>
    <w:rsid w:val="273460AC"/>
    <w:rsid w:val="27374274"/>
    <w:rsid w:val="2737495D"/>
    <w:rsid w:val="274D6CE8"/>
    <w:rsid w:val="27660E1F"/>
    <w:rsid w:val="27674216"/>
    <w:rsid w:val="27706C4B"/>
    <w:rsid w:val="27857D18"/>
    <w:rsid w:val="27862FAB"/>
    <w:rsid w:val="278F67DD"/>
    <w:rsid w:val="279569C3"/>
    <w:rsid w:val="2796736E"/>
    <w:rsid w:val="279D410D"/>
    <w:rsid w:val="279F4FD0"/>
    <w:rsid w:val="27A05EC0"/>
    <w:rsid w:val="27A56D20"/>
    <w:rsid w:val="27AD00F2"/>
    <w:rsid w:val="27B23784"/>
    <w:rsid w:val="27B778B7"/>
    <w:rsid w:val="27BE3E0B"/>
    <w:rsid w:val="27CE4805"/>
    <w:rsid w:val="27DC01C9"/>
    <w:rsid w:val="27EA6D62"/>
    <w:rsid w:val="280574E4"/>
    <w:rsid w:val="28300784"/>
    <w:rsid w:val="28422321"/>
    <w:rsid w:val="28630E79"/>
    <w:rsid w:val="28671F3A"/>
    <w:rsid w:val="287C2A44"/>
    <w:rsid w:val="28934FAB"/>
    <w:rsid w:val="289E6725"/>
    <w:rsid w:val="28B16531"/>
    <w:rsid w:val="28D175E3"/>
    <w:rsid w:val="28FC701F"/>
    <w:rsid w:val="29026E62"/>
    <w:rsid w:val="29057EC1"/>
    <w:rsid w:val="290E28AF"/>
    <w:rsid w:val="292011C8"/>
    <w:rsid w:val="293757A5"/>
    <w:rsid w:val="293D0E03"/>
    <w:rsid w:val="293F5958"/>
    <w:rsid w:val="294A094A"/>
    <w:rsid w:val="296E321C"/>
    <w:rsid w:val="297C57DA"/>
    <w:rsid w:val="299517C8"/>
    <w:rsid w:val="29A711B7"/>
    <w:rsid w:val="29B933A4"/>
    <w:rsid w:val="29BD6A3D"/>
    <w:rsid w:val="29C52E87"/>
    <w:rsid w:val="29C71D66"/>
    <w:rsid w:val="29CA1269"/>
    <w:rsid w:val="29D9317B"/>
    <w:rsid w:val="29DF2E24"/>
    <w:rsid w:val="29DF7E93"/>
    <w:rsid w:val="29F04EAF"/>
    <w:rsid w:val="29F116D0"/>
    <w:rsid w:val="2A0241CA"/>
    <w:rsid w:val="2A0777DB"/>
    <w:rsid w:val="2A0C21CF"/>
    <w:rsid w:val="2A156727"/>
    <w:rsid w:val="2A1E7E82"/>
    <w:rsid w:val="2A3C0CB0"/>
    <w:rsid w:val="2A493E71"/>
    <w:rsid w:val="2A64774B"/>
    <w:rsid w:val="2A684335"/>
    <w:rsid w:val="2A77548A"/>
    <w:rsid w:val="2A7D5C08"/>
    <w:rsid w:val="2A812EEF"/>
    <w:rsid w:val="2A8853FE"/>
    <w:rsid w:val="2A8C103F"/>
    <w:rsid w:val="2AA47786"/>
    <w:rsid w:val="2AAA19F3"/>
    <w:rsid w:val="2AAD65EE"/>
    <w:rsid w:val="2AB37AED"/>
    <w:rsid w:val="2AB57714"/>
    <w:rsid w:val="2AC77380"/>
    <w:rsid w:val="2AD53ABD"/>
    <w:rsid w:val="2ADD6AFD"/>
    <w:rsid w:val="2ADE6550"/>
    <w:rsid w:val="2AFE0D9C"/>
    <w:rsid w:val="2B052B10"/>
    <w:rsid w:val="2B2E0309"/>
    <w:rsid w:val="2B422946"/>
    <w:rsid w:val="2B5B34DC"/>
    <w:rsid w:val="2B6979B0"/>
    <w:rsid w:val="2B76579E"/>
    <w:rsid w:val="2B7B1768"/>
    <w:rsid w:val="2B831E93"/>
    <w:rsid w:val="2B915120"/>
    <w:rsid w:val="2BA57D96"/>
    <w:rsid w:val="2BAE29A1"/>
    <w:rsid w:val="2BBE438D"/>
    <w:rsid w:val="2BDA1726"/>
    <w:rsid w:val="2BE373EE"/>
    <w:rsid w:val="2BEF0F16"/>
    <w:rsid w:val="2BF86B4D"/>
    <w:rsid w:val="2C0D7C62"/>
    <w:rsid w:val="2C19390E"/>
    <w:rsid w:val="2C295EB9"/>
    <w:rsid w:val="2C2B2276"/>
    <w:rsid w:val="2C2E1416"/>
    <w:rsid w:val="2C35729B"/>
    <w:rsid w:val="2C3F779F"/>
    <w:rsid w:val="2C4628DA"/>
    <w:rsid w:val="2C4E6377"/>
    <w:rsid w:val="2C4E7DDF"/>
    <w:rsid w:val="2C622710"/>
    <w:rsid w:val="2C7A1A31"/>
    <w:rsid w:val="2C7C7D79"/>
    <w:rsid w:val="2C811C54"/>
    <w:rsid w:val="2C905796"/>
    <w:rsid w:val="2C9466E2"/>
    <w:rsid w:val="2C9D624A"/>
    <w:rsid w:val="2CA171B9"/>
    <w:rsid w:val="2CA32B82"/>
    <w:rsid w:val="2CA5615D"/>
    <w:rsid w:val="2CAF6B04"/>
    <w:rsid w:val="2CB0279E"/>
    <w:rsid w:val="2CB04E97"/>
    <w:rsid w:val="2CB21108"/>
    <w:rsid w:val="2CB550AE"/>
    <w:rsid w:val="2CB71ADC"/>
    <w:rsid w:val="2CCD7DEC"/>
    <w:rsid w:val="2CD12AE5"/>
    <w:rsid w:val="2CD33BF6"/>
    <w:rsid w:val="2D33074C"/>
    <w:rsid w:val="2D350AD1"/>
    <w:rsid w:val="2D3A323B"/>
    <w:rsid w:val="2D4B55E5"/>
    <w:rsid w:val="2D53589F"/>
    <w:rsid w:val="2D6B75F2"/>
    <w:rsid w:val="2D747A4A"/>
    <w:rsid w:val="2D7646A7"/>
    <w:rsid w:val="2D7B6139"/>
    <w:rsid w:val="2D7D016C"/>
    <w:rsid w:val="2D8E1F9C"/>
    <w:rsid w:val="2D9B3777"/>
    <w:rsid w:val="2DC65AFC"/>
    <w:rsid w:val="2DDA7850"/>
    <w:rsid w:val="2DDC0104"/>
    <w:rsid w:val="2DE379BB"/>
    <w:rsid w:val="2DE469E8"/>
    <w:rsid w:val="2DFA2CD8"/>
    <w:rsid w:val="2E0177B9"/>
    <w:rsid w:val="2E034F95"/>
    <w:rsid w:val="2E131913"/>
    <w:rsid w:val="2E1C01AA"/>
    <w:rsid w:val="2E1D2BF2"/>
    <w:rsid w:val="2E244D55"/>
    <w:rsid w:val="2E2B2AF5"/>
    <w:rsid w:val="2E310DEA"/>
    <w:rsid w:val="2E3B2A47"/>
    <w:rsid w:val="2E454355"/>
    <w:rsid w:val="2E6003A4"/>
    <w:rsid w:val="2E69729D"/>
    <w:rsid w:val="2E8315DD"/>
    <w:rsid w:val="2E8543E2"/>
    <w:rsid w:val="2E97598B"/>
    <w:rsid w:val="2E9B575E"/>
    <w:rsid w:val="2EAC0176"/>
    <w:rsid w:val="2EAC0713"/>
    <w:rsid w:val="2EB809B1"/>
    <w:rsid w:val="2EB81831"/>
    <w:rsid w:val="2EBC610D"/>
    <w:rsid w:val="2ECD4221"/>
    <w:rsid w:val="2ECF7A85"/>
    <w:rsid w:val="2ED54D90"/>
    <w:rsid w:val="2EE054B3"/>
    <w:rsid w:val="2EEE6241"/>
    <w:rsid w:val="2F250C78"/>
    <w:rsid w:val="2F2B5ABF"/>
    <w:rsid w:val="2F2E604D"/>
    <w:rsid w:val="2F337441"/>
    <w:rsid w:val="2F417886"/>
    <w:rsid w:val="2F747941"/>
    <w:rsid w:val="2F882E85"/>
    <w:rsid w:val="2F9A7F4A"/>
    <w:rsid w:val="2FB06A0B"/>
    <w:rsid w:val="2FC733B8"/>
    <w:rsid w:val="2FCA4F20"/>
    <w:rsid w:val="2FD23044"/>
    <w:rsid w:val="2FDB30AB"/>
    <w:rsid w:val="2FEA6648"/>
    <w:rsid w:val="2FEB7B6C"/>
    <w:rsid w:val="2FFA7D21"/>
    <w:rsid w:val="300C4C70"/>
    <w:rsid w:val="30243B54"/>
    <w:rsid w:val="303371BB"/>
    <w:rsid w:val="303458DC"/>
    <w:rsid w:val="3044399D"/>
    <w:rsid w:val="30477B1C"/>
    <w:rsid w:val="3049789B"/>
    <w:rsid w:val="305868C6"/>
    <w:rsid w:val="306445C1"/>
    <w:rsid w:val="306F3DBA"/>
    <w:rsid w:val="307F3E0B"/>
    <w:rsid w:val="30896C6B"/>
    <w:rsid w:val="308B46DE"/>
    <w:rsid w:val="30D0377D"/>
    <w:rsid w:val="30D2261F"/>
    <w:rsid w:val="30DE0226"/>
    <w:rsid w:val="30ED5AE0"/>
    <w:rsid w:val="31007D5E"/>
    <w:rsid w:val="31115223"/>
    <w:rsid w:val="31263645"/>
    <w:rsid w:val="3128586A"/>
    <w:rsid w:val="312D4BC9"/>
    <w:rsid w:val="31445B9B"/>
    <w:rsid w:val="314B6917"/>
    <w:rsid w:val="3155679F"/>
    <w:rsid w:val="316B13D5"/>
    <w:rsid w:val="31720F1D"/>
    <w:rsid w:val="31745B98"/>
    <w:rsid w:val="317E525C"/>
    <w:rsid w:val="319951C3"/>
    <w:rsid w:val="31BF03E5"/>
    <w:rsid w:val="31C22815"/>
    <w:rsid w:val="31CD37E1"/>
    <w:rsid w:val="31E65427"/>
    <w:rsid w:val="31ED7C9E"/>
    <w:rsid w:val="31F43BF9"/>
    <w:rsid w:val="31F8776D"/>
    <w:rsid w:val="31F96A5C"/>
    <w:rsid w:val="31FA1424"/>
    <w:rsid w:val="31FA3784"/>
    <w:rsid w:val="31FD11B6"/>
    <w:rsid w:val="31FE3F69"/>
    <w:rsid w:val="31FF0281"/>
    <w:rsid w:val="320218B2"/>
    <w:rsid w:val="320733C3"/>
    <w:rsid w:val="320D2322"/>
    <w:rsid w:val="321C18F4"/>
    <w:rsid w:val="321C2B52"/>
    <w:rsid w:val="321F61EC"/>
    <w:rsid w:val="32342232"/>
    <w:rsid w:val="3235481D"/>
    <w:rsid w:val="32490236"/>
    <w:rsid w:val="324C044F"/>
    <w:rsid w:val="324F04DB"/>
    <w:rsid w:val="32551375"/>
    <w:rsid w:val="32702FC0"/>
    <w:rsid w:val="327144B7"/>
    <w:rsid w:val="329428E2"/>
    <w:rsid w:val="32A220FA"/>
    <w:rsid w:val="32B16932"/>
    <w:rsid w:val="32C34956"/>
    <w:rsid w:val="32CA65F9"/>
    <w:rsid w:val="32E225A9"/>
    <w:rsid w:val="33054854"/>
    <w:rsid w:val="33064DC6"/>
    <w:rsid w:val="330A16FB"/>
    <w:rsid w:val="330A4B27"/>
    <w:rsid w:val="33123E8F"/>
    <w:rsid w:val="33141FF7"/>
    <w:rsid w:val="33276B56"/>
    <w:rsid w:val="33423076"/>
    <w:rsid w:val="33482976"/>
    <w:rsid w:val="33506C9F"/>
    <w:rsid w:val="33775E05"/>
    <w:rsid w:val="3378517F"/>
    <w:rsid w:val="337B6A3F"/>
    <w:rsid w:val="338574F9"/>
    <w:rsid w:val="3389512D"/>
    <w:rsid w:val="33A078AB"/>
    <w:rsid w:val="33A222F8"/>
    <w:rsid w:val="33AA6CDD"/>
    <w:rsid w:val="33B11D10"/>
    <w:rsid w:val="33B85C62"/>
    <w:rsid w:val="33C3614F"/>
    <w:rsid w:val="33C4069B"/>
    <w:rsid w:val="33D331C6"/>
    <w:rsid w:val="33D62B96"/>
    <w:rsid w:val="33E32DB1"/>
    <w:rsid w:val="33EA04DA"/>
    <w:rsid w:val="33EB4015"/>
    <w:rsid w:val="34180EB9"/>
    <w:rsid w:val="341A72F5"/>
    <w:rsid w:val="342E2644"/>
    <w:rsid w:val="34376AB4"/>
    <w:rsid w:val="344127C5"/>
    <w:rsid w:val="344F6BB0"/>
    <w:rsid w:val="34526E6E"/>
    <w:rsid w:val="34531926"/>
    <w:rsid w:val="345728DD"/>
    <w:rsid w:val="345957E6"/>
    <w:rsid w:val="345B1895"/>
    <w:rsid w:val="346057AE"/>
    <w:rsid w:val="3485590E"/>
    <w:rsid w:val="348A42E5"/>
    <w:rsid w:val="3492585B"/>
    <w:rsid w:val="34946C2E"/>
    <w:rsid w:val="34976D40"/>
    <w:rsid w:val="349C0DD3"/>
    <w:rsid w:val="349C496B"/>
    <w:rsid w:val="34A24AD6"/>
    <w:rsid w:val="34BE3D1A"/>
    <w:rsid w:val="34C04708"/>
    <w:rsid w:val="34C33EF1"/>
    <w:rsid w:val="34D46D17"/>
    <w:rsid w:val="34D963E5"/>
    <w:rsid w:val="34EA38ED"/>
    <w:rsid w:val="34F84A13"/>
    <w:rsid w:val="34FD5844"/>
    <w:rsid w:val="35004979"/>
    <w:rsid w:val="3513492F"/>
    <w:rsid w:val="35227380"/>
    <w:rsid w:val="352328E6"/>
    <w:rsid w:val="352801A9"/>
    <w:rsid w:val="35280DED"/>
    <w:rsid w:val="353F3693"/>
    <w:rsid w:val="35463167"/>
    <w:rsid w:val="35496EF9"/>
    <w:rsid w:val="35665ADB"/>
    <w:rsid w:val="3572692E"/>
    <w:rsid w:val="357B34A8"/>
    <w:rsid w:val="35800C8C"/>
    <w:rsid w:val="35816EB9"/>
    <w:rsid w:val="35821E3D"/>
    <w:rsid w:val="359F5261"/>
    <w:rsid w:val="35B50881"/>
    <w:rsid w:val="35C151E6"/>
    <w:rsid w:val="35C2434B"/>
    <w:rsid w:val="35E269A0"/>
    <w:rsid w:val="35FE7215"/>
    <w:rsid w:val="35FF2DF2"/>
    <w:rsid w:val="36000F59"/>
    <w:rsid w:val="360A6FD4"/>
    <w:rsid w:val="360B232F"/>
    <w:rsid w:val="36245FB0"/>
    <w:rsid w:val="36247CCA"/>
    <w:rsid w:val="362552C6"/>
    <w:rsid w:val="36280FB0"/>
    <w:rsid w:val="362E41FA"/>
    <w:rsid w:val="36400759"/>
    <w:rsid w:val="364225B8"/>
    <w:rsid w:val="365409D5"/>
    <w:rsid w:val="36561F49"/>
    <w:rsid w:val="365851C2"/>
    <w:rsid w:val="365A6F0C"/>
    <w:rsid w:val="365F0781"/>
    <w:rsid w:val="367018E9"/>
    <w:rsid w:val="36755043"/>
    <w:rsid w:val="367B06EC"/>
    <w:rsid w:val="36A949DA"/>
    <w:rsid w:val="36AF0D32"/>
    <w:rsid w:val="36D37A07"/>
    <w:rsid w:val="36ED465C"/>
    <w:rsid w:val="36F5591B"/>
    <w:rsid w:val="370058B6"/>
    <w:rsid w:val="37066B46"/>
    <w:rsid w:val="371761F3"/>
    <w:rsid w:val="3731185E"/>
    <w:rsid w:val="373A7886"/>
    <w:rsid w:val="3743621C"/>
    <w:rsid w:val="3744589E"/>
    <w:rsid w:val="37455C41"/>
    <w:rsid w:val="37556EFB"/>
    <w:rsid w:val="37634C0D"/>
    <w:rsid w:val="37635AA2"/>
    <w:rsid w:val="37635FA3"/>
    <w:rsid w:val="376B480E"/>
    <w:rsid w:val="376D038A"/>
    <w:rsid w:val="378D4EC4"/>
    <w:rsid w:val="37B01FC8"/>
    <w:rsid w:val="37E4385E"/>
    <w:rsid w:val="37F7211A"/>
    <w:rsid w:val="37FD2BB1"/>
    <w:rsid w:val="38006CCB"/>
    <w:rsid w:val="380533BD"/>
    <w:rsid w:val="380639BF"/>
    <w:rsid w:val="380C13EE"/>
    <w:rsid w:val="3814089E"/>
    <w:rsid w:val="381D63E4"/>
    <w:rsid w:val="382F467C"/>
    <w:rsid w:val="383B672F"/>
    <w:rsid w:val="38454C9B"/>
    <w:rsid w:val="38696E70"/>
    <w:rsid w:val="38805EFA"/>
    <w:rsid w:val="388116C0"/>
    <w:rsid w:val="388C714F"/>
    <w:rsid w:val="38946C1E"/>
    <w:rsid w:val="38A75349"/>
    <w:rsid w:val="38E37461"/>
    <w:rsid w:val="38F1166E"/>
    <w:rsid w:val="38FA2459"/>
    <w:rsid w:val="38FC17D9"/>
    <w:rsid w:val="39105A0A"/>
    <w:rsid w:val="3915776F"/>
    <w:rsid w:val="391B76F1"/>
    <w:rsid w:val="392245B5"/>
    <w:rsid w:val="392E1C4F"/>
    <w:rsid w:val="393D721A"/>
    <w:rsid w:val="393F0F59"/>
    <w:rsid w:val="39407B45"/>
    <w:rsid w:val="394A6B61"/>
    <w:rsid w:val="394F360B"/>
    <w:rsid w:val="39521109"/>
    <w:rsid w:val="39552B94"/>
    <w:rsid w:val="39825EF1"/>
    <w:rsid w:val="398F0860"/>
    <w:rsid w:val="399247BA"/>
    <w:rsid w:val="399D7118"/>
    <w:rsid w:val="39A17657"/>
    <w:rsid w:val="39AF11FC"/>
    <w:rsid w:val="39BA52EA"/>
    <w:rsid w:val="39BC5220"/>
    <w:rsid w:val="39C76754"/>
    <w:rsid w:val="39D879D3"/>
    <w:rsid w:val="39FB2604"/>
    <w:rsid w:val="39FC179E"/>
    <w:rsid w:val="3A014E17"/>
    <w:rsid w:val="3A066018"/>
    <w:rsid w:val="3A1072FA"/>
    <w:rsid w:val="3A1A61A0"/>
    <w:rsid w:val="3A250E3E"/>
    <w:rsid w:val="3A27547C"/>
    <w:rsid w:val="3A3871E3"/>
    <w:rsid w:val="3A3C3C45"/>
    <w:rsid w:val="3A663EB0"/>
    <w:rsid w:val="3A87071A"/>
    <w:rsid w:val="3A933750"/>
    <w:rsid w:val="3A995D8D"/>
    <w:rsid w:val="3A9B7C92"/>
    <w:rsid w:val="3A9C1C21"/>
    <w:rsid w:val="3AA15200"/>
    <w:rsid w:val="3AA254B3"/>
    <w:rsid w:val="3AAC6AC3"/>
    <w:rsid w:val="3AAC76F2"/>
    <w:rsid w:val="3ABB45B4"/>
    <w:rsid w:val="3AD8079E"/>
    <w:rsid w:val="3AE2732C"/>
    <w:rsid w:val="3AE35E4E"/>
    <w:rsid w:val="3AF05E33"/>
    <w:rsid w:val="3AF1344F"/>
    <w:rsid w:val="3AF45EEF"/>
    <w:rsid w:val="3B075A5E"/>
    <w:rsid w:val="3B0C3FE9"/>
    <w:rsid w:val="3B192958"/>
    <w:rsid w:val="3B1C5B19"/>
    <w:rsid w:val="3B362C4D"/>
    <w:rsid w:val="3B420C79"/>
    <w:rsid w:val="3B4E0D7D"/>
    <w:rsid w:val="3B942B73"/>
    <w:rsid w:val="3B9674D7"/>
    <w:rsid w:val="3BA20424"/>
    <w:rsid w:val="3BB335AC"/>
    <w:rsid w:val="3BB41887"/>
    <w:rsid w:val="3BB46056"/>
    <w:rsid w:val="3BD25A95"/>
    <w:rsid w:val="3BD3067E"/>
    <w:rsid w:val="3BD53AB5"/>
    <w:rsid w:val="3BEF40B2"/>
    <w:rsid w:val="3BF25345"/>
    <w:rsid w:val="3BFF61D4"/>
    <w:rsid w:val="3C0104C3"/>
    <w:rsid w:val="3C01739E"/>
    <w:rsid w:val="3C262C87"/>
    <w:rsid w:val="3C2B5178"/>
    <w:rsid w:val="3C2E6B82"/>
    <w:rsid w:val="3C302880"/>
    <w:rsid w:val="3C3C39A0"/>
    <w:rsid w:val="3C3F7379"/>
    <w:rsid w:val="3C540766"/>
    <w:rsid w:val="3C56226A"/>
    <w:rsid w:val="3C5A7EF6"/>
    <w:rsid w:val="3C5E6BF7"/>
    <w:rsid w:val="3C7C388D"/>
    <w:rsid w:val="3C7D7FE8"/>
    <w:rsid w:val="3C804923"/>
    <w:rsid w:val="3C9A1BA0"/>
    <w:rsid w:val="3C9A5909"/>
    <w:rsid w:val="3C9D3765"/>
    <w:rsid w:val="3C9E0FAA"/>
    <w:rsid w:val="3CA30947"/>
    <w:rsid w:val="3CA95D2C"/>
    <w:rsid w:val="3CB0679A"/>
    <w:rsid w:val="3CB85542"/>
    <w:rsid w:val="3CC000F8"/>
    <w:rsid w:val="3CCD64DD"/>
    <w:rsid w:val="3D012553"/>
    <w:rsid w:val="3D016685"/>
    <w:rsid w:val="3D277613"/>
    <w:rsid w:val="3D2F0540"/>
    <w:rsid w:val="3D372CA8"/>
    <w:rsid w:val="3D3734D1"/>
    <w:rsid w:val="3D3C5369"/>
    <w:rsid w:val="3D401400"/>
    <w:rsid w:val="3D471B23"/>
    <w:rsid w:val="3D66205D"/>
    <w:rsid w:val="3D6D5EA9"/>
    <w:rsid w:val="3DA54021"/>
    <w:rsid w:val="3DB3168B"/>
    <w:rsid w:val="3DD171A7"/>
    <w:rsid w:val="3DDC1724"/>
    <w:rsid w:val="3DDC77B8"/>
    <w:rsid w:val="3DEC1B94"/>
    <w:rsid w:val="3DEF2C7A"/>
    <w:rsid w:val="3DFC55A8"/>
    <w:rsid w:val="3E0321CE"/>
    <w:rsid w:val="3E0A2205"/>
    <w:rsid w:val="3E0C5BEA"/>
    <w:rsid w:val="3E1156B0"/>
    <w:rsid w:val="3E127B19"/>
    <w:rsid w:val="3E2653DC"/>
    <w:rsid w:val="3E2B50D7"/>
    <w:rsid w:val="3E327F30"/>
    <w:rsid w:val="3E342AD6"/>
    <w:rsid w:val="3E4754A6"/>
    <w:rsid w:val="3E483E31"/>
    <w:rsid w:val="3E4F14F0"/>
    <w:rsid w:val="3E675E5F"/>
    <w:rsid w:val="3E786B14"/>
    <w:rsid w:val="3E816CD6"/>
    <w:rsid w:val="3E860F10"/>
    <w:rsid w:val="3E8C0B9B"/>
    <w:rsid w:val="3E913ADC"/>
    <w:rsid w:val="3E922B85"/>
    <w:rsid w:val="3E922D59"/>
    <w:rsid w:val="3E9E2BD0"/>
    <w:rsid w:val="3EA3700C"/>
    <w:rsid w:val="3EA557FA"/>
    <w:rsid w:val="3EB02205"/>
    <w:rsid w:val="3EB47903"/>
    <w:rsid w:val="3EBE6D17"/>
    <w:rsid w:val="3ED7637C"/>
    <w:rsid w:val="3EDF0CF3"/>
    <w:rsid w:val="3EDF5CC7"/>
    <w:rsid w:val="3EE8557E"/>
    <w:rsid w:val="3EED740D"/>
    <w:rsid w:val="3F026698"/>
    <w:rsid w:val="3F035AD0"/>
    <w:rsid w:val="3F0425A9"/>
    <w:rsid w:val="3F0925C4"/>
    <w:rsid w:val="3F156AF4"/>
    <w:rsid w:val="3F1F6992"/>
    <w:rsid w:val="3F2F6BD0"/>
    <w:rsid w:val="3F304A7A"/>
    <w:rsid w:val="3F3330FC"/>
    <w:rsid w:val="3F397D57"/>
    <w:rsid w:val="3F4E48BC"/>
    <w:rsid w:val="3F4F338A"/>
    <w:rsid w:val="3F4F56AB"/>
    <w:rsid w:val="3F50050D"/>
    <w:rsid w:val="3F5525AA"/>
    <w:rsid w:val="3F5C510C"/>
    <w:rsid w:val="3F652B34"/>
    <w:rsid w:val="3F9529AF"/>
    <w:rsid w:val="3FB1447F"/>
    <w:rsid w:val="3FC35AFC"/>
    <w:rsid w:val="3FD1414D"/>
    <w:rsid w:val="3FD73403"/>
    <w:rsid w:val="3FD81218"/>
    <w:rsid w:val="3FFF6F6C"/>
    <w:rsid w:val="400479C3"/>
    <w:rsid w:val="4017176D"/>
    <w:rsid w:val="4019575B"/>
    <w:rsid w:val="40404B79"/>
    <w:rsid w:val="404708CF"/>
    <w:rsid w:val="404B00E0"/>
    <w:rsid w:val="40626078"/>
    <w:rsid w:val="40797278"/>
    <w:rsid w:val="407B011A"/>
    <w:rsid w:val="408064F4"/>
    <w:rsid w:val="40860115"/>
    <w:rsid w:val="408E3720"/>
    <w:rsid w:val="40912007"/>
    <w:rsid w:val="40977617"/>
    <w:rsid w:val="409B357D"/>
    <w:rsid w:val="409D196D"/>
    <w:rsid w:val="40BC2DF7"/>
    <w:rsid w:val="40CE14CF"/>
    <w:rsid w:val="40CF6877"/>
    <w:rsid w:val="40D12969"/>
    <w:rsid w:val="40E01B87"/>
    <w:rsid w:val="40E86C9E"/>
    <w:rsid w:val="410848A4"/>
    <w:rsid w:val="41150CEC"/>
    <w:rsid w:val="411713CA"/>
    <w:rsid w:val="411A6663"/>
    <w:rsid w:val="412B7B2A"/>
    <w:rsid w:val="412D5086"/>
    <w:rsid w:val="412E0B45"/>
    <w:rsid w:val="415C1B80"/>
    <w:rsid w:val="416E59E3"/>
    <w:rsid w:val="417C4EC1"/>
    <w:rsid w:val="417D1AAC"/>
    <w:rsid w:val="417D640A"/>
    <w:rsid w:val="418B17B5"/>
    <w:rsid w:val="41A664B7"/>
    <w:rsid w:val="41BB5773"/>
    <w:rsid w:val="41C77842"/>
    <w:rsid w:val="41D60622"/>
    <w:rsid w:val="41DF5CBF"/>
    <w:rsid w:val="41F21222"/>
    <w:rsid w:val="42226713"/>
    <w:rsid w:val="422B2BA1"/>
    <w:rsid w:val="422C345B"/>
    <w:rsid w:val="422E4A84"/>
    <w:rsid w:val="4231785A"/>
    <w:rsid w:val="423E2CE8"/>
    <w:rsid w:val="42510BC2"/>
    <w:rsid w:val="42537272"/>
    <w:rsid w:val="425419D7"/>
    <w:rsid w:val="42584818"/>
    <w:rsid w:val="427E48C1"/>
    <w:rsid w:val="42926048"/>
    <w:rsid w:val="429B6E22"/>
    <w:rsid w:val="42B21349"/>
    <w:rsid w:val="42C418B8"/>
    <w:rsid w:val="42C845D8"/>
    <w:rsid w:val="42E4133A"/>
    <w:rsid w:val="42F47DE6"/>
    <w:rsid w:val="43121104"/>
    <w:rsid w:val="43137CD6"/>
    <w:rsid w:val="43262E27"/>
    <w:rsid w:val="43311CC6"/>
    <w:rsid w:val="43334420"/>
    <w:rsid w:val="434841F7"/>
    <w:rsid w:val="434D6B99"/>
    <w:rsid w:val="436B64E7"/>
    <w:rsid w:val="437C7730"/>
    <w:rsid w:val="437F792B"/>
    <w:rsid w:val="4393141E"/>
    <w:rsid w:val="439D2164"/>
    <w:rsid w:val="43BE214E"/>
    <w:rsid w:val="43C35AAF"/>
    <w:rsid w:val="43D409A3"/>
    <w:rsid w:val="43D96795"/>
    <w:rsid w:val="43ED298C"/>
    <w:rsid w:val="43EF2991"/>
    <w:rsid w:val="43F4696E"/>
    <w:rsid w:val="43FF1696"/>
    <w:rsid w:val="44160F16"/>
    <w:rsid w:val="44312E2E"/>
    <w:rsid w:val="44473AA3"/>
    <w:rsid w:val="444D28AC"/>
    <w:rsid w:val="44597BEE"/>
    <w:rsid w:val="445F053C"/>
    <w:rsid w:val="44606F35"/>
    <w:rsid w:val="447A4753"/>
    <w:rsid w:val="447B24E4"/>
    <w:rsid w:val="448E6EFF"/>
    <w:rsid w:val="449F5FB6"/>
    <w:rsid w:val="44B540B8"/>
    <w:rsid w:val="44C043A9"/>
    <w:rsid w:val="44C761A1"/>
    <w:rsid w:val="44C87A53"/>
    <w:rsid w:val="44DD300E"/>
    <w:rsid w:val="44E2656D"/>
    <w:rsid w:val="44E83AF8"/>
    <w:rsid w:val="44EB4EBB"/>
    <w:rsid w:val="44F11452"/>
    <w:rsid w:val="45087EF5"/>
    <w:rsid w:val="45177BA4"/>
    <w:rsid w:val="4519646E"/>
    <w:rsid w:val="451C551F"/>
    <w:rsid w:val="451F3CCA"/>
    <w:rsid w:val="45247468"/>
    <w:rsid w:val="45341196"/>
    <w:rsid w:val="453E4409"/>
    <w:rsid w:val="45493A4F"/>
    <w:rsid w:val="454E4188"/>
    <w:rsid w:val="45521CB0"/>
    <w:rsid w:val="45653C2A"/>
    <w:rsid w:val="45727755"/>
    <w:rsid w:val="45772C1F"/>
    <w:rsid w:val="45A80C52"/>
    <w:rsid w:val="45B860CB"/>
    <w:rsid w:val="45BA5028"/>
    <w:rsid w:val="45C421A8"/>
    <w:rsid w:val="45CA6C10"/>
    <w:rsid w:val="45D01294"/>
    <w:rsid w:val="45E03532"/>
    <w:rsid w:val="45E20B53"/>
    <w:rsid w:val="462835F1"/>
    <w:rsid w:val="462D5957"/>
    <w:rsid w:val="463D6EAF"/>
    <w:rsid w:val="46441A32"/>
    <w:rsid w:val="465346A2"/>
    <w:rsid w:val="46586687"/>
    <w:rsid w:val="466309D9"/>
    <w:rsid w:val="466520C5"/>
    <w:rsid w:val="466A2150"/>
    <w:rsid w:val="466D3B0A"/>
    <w:rsid w:val="46724076"/>
    <w:rsid w:val="46844FFB"/>
    <w:rsid w:val="46864313"/>
    <w:rsid w:val="468C15DE"/>
    <w:rsid w:val="468F344C"/>
    <w:rsid w:val="468F5973"/>
    <w:rsid w:val="46971C0C"/>
    <w:rsid w:val="46BD4DF4"/>
    <w:rsid w:val="46CA623A"/>
    <w:rsid w:val="46CE17A4"/>
    <w:rsid w:val="46D61B6B"/>
    <w:rsid w:val="46D62104"/>
    <w:rsid w:val="46D81406"/>
    <w:rsid w:val="46FD3DD0"/>
    <w:rsid w:val="47006BB2"/>
    <w:rsid w:val="470103E6"/>
    <w:rsid w:val="47025742"/>
    <w:rsid w:val="47111E3A"/>
    <w:rsid w:val="4712364C"/>
    <w:rsid w:val="47143A7B"/>
    <w:rsid w:val="472C59BD"/>
    <w:rsid w:val="472D3683"/>
    <w:rsid w:val="473B416A"/>
    <w:rsid w:val="473B7E9E"/>
    <w:rsid w:val="47453C8F"/>
    <w:rsid w:val="47597C98"/>
    <w:rsid w:val="475B3378"/>
    <w:rsid w:val="475F227A"/>
    <w:rsid w:val="4766347D"/>
    <w:rsid w:val="476B37C7"/>
    <w:rsid w:val="47810A72"/>
    <w:rsid w:val="478D4609"/>
    <w:rsid w:val="478D6A12"/>
    <w:rsid w:val="479F1D2B"/>
    <w:rsid w:val="479F5DF0"/>
    <w:rsid w:val="47A32AF0"/>
    <w:rsid w:val="47AA0F81"/>
    <w:rsid w:val="47AF032C"/>
    <w:rsid w:val="47B215BE"/>
    <w:rsid w:val="47B4742B"/>
    <w:rsid w:val="47BA0CEF"/>
    <w:rsid w:val="47EA4D37"/>
    <w:rsid w:val="47EC146A"/>
    <w:rsid w:val="480E5468"/>
    <w:rsid w:val="482A2340"/>
    <w:rsid w:val="48334280"/>
    <w:rsid w:val="48386782"/>
    <w:rsid w:val="48403192"/>
    <w:rsid w:val="4842585E"/>
    <w:rsid w:val="48455013"/>
    <w:rsid w:val="484B7369"/>
    <w:rsid w:val="485074E9"/>
    <w:rsid w:val="4860215B"/>
    <w:rsid w:val="486A4EB9"/>
    <w:rsid w:val="487F3DD6"/>
    <w:rsid w:val="48811612"/>
    <w:rsid w:val="488818E0"/>
    <w:rsid w:val="48AF41DC"/>
    <w:rsid w:val="48B40A80"/>
    <w:rsid w:val="48B464F4"/>
    <w:rsid w:val="48DA475A"/>
    <w:rsid w:val="48E06989"/>
    <w:rsid w:val="48E4345B"/>
    <w:rsid w:val="48E918F3"/>
    <w:rsid w:val="48E92C88"/>
    <w:rsid w:val="48EB1D85"/>
    <w:rsid w:val="490F46AA"/>
    <w:rsid w:val="492B3740"/>
    <w:rsid w:val="4941092D"/>
    <w:rsid w:val="494C141C"/>
    <w:rsid w:val="495904E7"/>
    <w:rsid w:val="495D5CF9"/>
    <w:rsid w:val="4987544D"/>
    <w:rsid w:val="498E60E7"/>
    <w:rsid w:val="499D65A5"/>
    <w:rsid w:val="49A90D09"/>
    <w:rsid w:val="49AE3D92"/>
    <w:rsid w:val="49B20704"/>
    <w:rsid w:val="49C426C8"/>
    <w:rsid w:val="49C55CAD"/>
    <w:rsid w:val="49CA225D"/>
    <w:rsid w:val="49D62732"/>
    <w:rsid w:val="49D96FD7"/>
    <w:rsid w:val="49DC27A1"/>
    <w:rsid w:val="49E15BE5"/>
    <w:rsid w:val="49F90F15"/>
    <w:rsid w:val="4A1203E3"/>
    <w:rsid w:val="4A31708E"/>
    <w:rsid w:val="4A3C31F7"/>
    <w:rsid w:val="4A41265A"/>
    <w:rsid w:val="4A4308BD"/>
    <w:rsid w:val="4A5635AD"/>
    <w:rsid w:val="4A6B682E"/>
    <w:rsid w:val="4A812EF2"/>
    <w:rsid w:val="4A863FBD"/>
    <w:rsid w:val="4A8D2B3B"/>
    <w:rsid w:val="4A9207C2"/>
    <w:rsid w:val="4A987CDE"/>
    <w:rsid w:val="4A9E5BA3"/>
    <w:rsid w:val="4AA2049C"/>
    <w:rsid w:val="4AA927DF"/>
    <w:rsid w:val="4ABD2CBE"/>
    <w:rsid w:val="4AC86408"/>
    <w:rsid w:val="4ACA49FA"/>
    <w:rsid w:val="4AD97487"/>
    <w:rsid w:val="4ADE3862"/>
    <w:rsid w:val="4ADE5D27"/>
    <w:rsid w:val="4ADF1A70"/>
    <w:rsid w:val="4AE8469B"/>
    <w:rsid w:val="4AE97D8E"/>
    <w:rsid w:val="4AED30D2"/>
    <w:rsid w:val="4AF05435"/>
    <w:rsid w:val="4AFE1C1B"/>
    <w:rsid w:val="4B15782A"/>
    <w:rsid w:val="4B1912C0"/>
    <w:rsid w:val="4B1B03A7"/>
    <w:rsid w:val="4B1B086E"/>
    <w:rsid w:val="4B503DE9"/>
    <w:rsid w:val="4B524CF5"/>
    <w:rsid w:val="4B572FF0"/>
    <w:rsid w:val="4B592E57"/>
    <w:rsid w:val="4B660513"/>
    <w:rsid w:val="4B692AB0"/>
    <w:rsid w:val="4B731311"/>
    <w:rsid w:val="4B731E90"/>
    <w:rsid w:val="4B7941F8"/>
    <w:rsid w:val="4B9A2375"/>
    <w:rsid w:val="4BAA6159"/>
    <w:rsid w:val="4BAE6C56"/>
    <w:rsid w:val="4C0B7F8D"/>
    <w:rsid w:val="4C10281F"/>
    <w:rsid w:val="4C1F7A5B"/>
    <w:rsid w:val="4C2E41A3"/>
    <w:rsid w:val="4C581EF4"/>
    <w:rsid w:val="4C8826F9"/>
    <w:rsid w:val="4C9A5F96"/>
    <w:rsid w:val="4C9B7DE3"/>
    <w:rsid w:val="4CA178A3"/>
    <w:rsid w:val="4CA37636"/>
    <w:rsid w:val="4CB3138C"/>
    <w:rsid w:val="4CBC47B7"/>
    <w:rsid w:val="4CBE1543"/>
    <w:rsid w:val="4CBE4760"/>
    <w:rsid w:val="4CC63570"/>
    <w:rsid w:val="4CCC2062"/>
    <w:rsid w:val="4CE26759"/>
    <w:rsid w:val="4CF02D19"/>
    <w:rsid w:val="4CF86DA4"/>
    <w:rsid w:val="4D020DA5"/>
    <w:rsid w:val="4D0D52CB"/>
    <w:rsid w:val="4D362722"/>
    <w:rsid w:val="4D566C49"/>
    <w:rsid w:val="4D6037A5"/>
    <w:rsid w:val="4D743AA4"/>
    <w:rsid w:val="4D7562CD"/>
    <w:rsid w:val="4D782194"/>
    <w:rsid w:val="4D825D86"/>
    <w:rsid w:val="4D993267"/>
    <w:rsid w:val="4DA1355F"/>
    <w:rsid w:val="4DA537BB"/>
    <w:rsid w:val="4DF67531"/>
    <w:rsid w:val="4DF9062B"/>
    <w:rsid w:val="4DFF0A45"/>
    <w:rsid w:val="4E014EF8"/>
    <w:rsid w:val="4E066E93"/>
    <w:rsid w:val="4E1C3972"/>
    <w:rsid w:val="4E1D7E77"/>
    <w:rsid w:val="4E236A05"/>
    <w:rsid w:val="4E51451A"/>
    <w:rsid w:val="4E5311AE"/>
    <w:rsid w:val="4E5B24E9"/>
    <w:rsid w:val="4E6B33C9"/>
    <w:rsid w:val="4E773DD7"/>
    <w:rsid w:val="4EC11B63"/>
    <w:rsid w:val="4EDC712B"/>
    <w:rsid w:val="4EE57B61"/>
    <w:rsid w:val="4EE8474B"/>
    <w:rsid w:val="4EF614BA"/>
    <w:rsid w:val="4EF62402"/>
    <w:rsid w:val="4EF7467D"/>
    <w:rsid w:val="4F0D1A30"/>
    <w:rsid w:val="4F18399F"/>
    <w:rsid w:val="4F2521DD"/>
    <w:rsid w:val="4F35630A"/>
    <w:rsid w:val="4F362E18"/>
    <w:rsid w:val="4F4A224A"/>
    <w:rsid w:val="4F540B41"/>
    <w:rsid w:val="4F547EAA"/>
    <w:rsid w:val="4F67324E"/>
    <w:rsid w:val="4F832885"/>
    <w:rsid w:val="4F9039FE"/>
    <w:rsid w:val="4F95432C"/>
    <w:rsid w:val="4FB61776"/>
    <w:rsid w:val="4FCB41C4"/>
    <w:rsid w:val="4FE4056A"/>
    <w:rsid w:val="4FF54E46"/>
    <w:rsid w:val="500B3567"/>
    <w:rsid w:val="500E3702"/>
    <w:rsid w:val="502419F8"/>
    <w:rsid w:val="50344C9A"/>
    <w:rsid w:val="50437224"/>
    <w:rsid w:val="50490678"/>
    <w:rsid w:val="50515A87"/>
    <w:rsid w:val="505A512C"/>
    <w:rsid w:val="506E5ED7"/>
    <w:rsid w:val="506F7FF9"/>
    <w:rsid w:val="5098572F"/>
    <w:rsid w:val="50A46A8D"/>
    <w:rsid w:val="50B12960"/>
    <w:rsid w:val="50B63625"/>
    <w:rsid w:val="50C64353"/>
    <w:rsid w:val="50CA1DF4"/>
    <w:rsid w:val="50DA23BB"/>
    <w:rsid w:val="50F018D3"/>
    <w:rsid w:val="50F311E5"/>
    <w:rsid w:val="50F47A17"/>
    <w:rsid w:val="50FC11B3"/>
    <w:rsid w:val="5100663C"/>
    <w:rsid w:val="510967F6"/>
    <w:rsid w:val="5118449C"/>
    <w:rsid w:val="511F0E78"/>
    <w:rsid w:val="51360A3E"/>
    <w:rsid w:val="513D38A6"/>
    <w:rsid w:val="514201E8"/>
    <w:rsid w:val="51456AF4"/>
    <w:rsid w:val="51470560"/>
    <w:rsid w:val="51471C5E"/>
    <w:rsid w:val="515049E8"/>
    <w:rsid w:val="515C1DCC"/>
    <w:rsid w:val="51790E28"/>
    <w:rsid w:val="517A1635"/>
    <w:rsid w:val="519B6609"/>
    <w:rsid w:val="51B858B2"/>
    <w:rsid w:val="51BE6CEC"/>
    <w:rsid w:val="51C26588"/>
    <w:rsid w:val="51C43F50"/>
    <w:rsid w:val="51C61413"/>
    <w:rsid w:val="51C97767"/>
    <w:rsid w:val="51D01AC7"/>
    <w:rsid w:val="51D40E25"/>
    <w:rsid w:val="51DE4114"/>
    <w:rsid w:val="51E565A9"/>
    <w:rsid w:val="51E66B14"/>
    <w:rsid w:val="51E77A6F"/>
    <w:rsid w:val="51F45C0D"/>
    <w:rsid w:val="51F45EC8"/>
    <w:rsid w:val="51F93B02"/>
    <w:rsid w:val="51FE2E2D"/>
    <w:rsid w:val="52056A08"/>
    <w:rsid w:val="520F2ED4"/>
    <w:rsid w:val="52136896"/>
    <w:rsid w:val="521402BD"/>
    <w:rsid w:val="52143945"/>
    <w:rsid w:val="521A74EC"/>
    <w:rsid w:val="52203D09"/>
    <w:rsid w:val="522211F9"/>
    <w:rsid w:val="522B39FB"/>
    <w:rsid w:val="522E1DAF"/>
    <w:rsid w:val="52411871"/>
    <w:rsid w:val="52414E5C"/>
    <w:rsid w:val="52416B27"/>
    <w:rsid w:val="52463FBA"/>
    <w:rsid w:val="52494C56"/>
    <w:rsid w:val="524A5D65"/>
    <w:rsid w:val="524B79B8"/>
    <w:rsid w:val="524C1BBF"/>
    <w:rsid w:val="52547DCF"/>
    <w:rsid w:val="529526FC"/>
    <w:rsid w:val="529E21BC"/>
    <w:rsid w:val="52A17AC6"/>
    <w:rsid w:val="52A71DED"/>
    <w:rsid w:val="52C04D72"/>
    <w:rsid w:val="52C20D19"/>
    <w:rsid w:val="52CA35B0"/>
    <w:rsid w:val="52DD15C5"/>
    <w:rsid w:val="52F63B4F"/>
    <w:rsid w:val="53053736"/>
    <w:rsid w:val="53082F2C"/>
    <w:rsid w:val="53131C59"/>
    <w:rsid w:val="532C6492"/>
    <w:rsid w:val="533268AC"/>
    <w:rsid w:val="53345BA9"/>
    <w:rsid w:val="53396085"/>
    <w:rsid w:val="53452217"/>
    <w:rsid w:val="53636927"/>
    <w:rsid w:val="53670639"/>
    <w:rsid w:val="537B56BB"/>
    <w:rsid w:val="53A3208D"/>
    <w:rsid w:val="53B84C8E"/>
    <w:rsid w:val="53BC23E8"/>
    <w:rsid w:val="53DC10D6"/>
    <w:rsid w:val="53F52A77"/>
    <w:rsid w:val="53FD5774"/>
    <w:rsid w:val="5414272D"/>
    <w:rsid w:val="541545B9"/>
    <w:rsid w:val="54346879"/>
    <w:rsid w:val="5440257B"/>
    <w:rsid w:val="54437867"/>
    <w:rsid w:val="544F3292"/>
    <w:rsid w:val="54571FF6"/>
    <w:rsid w:val="546C6CDD"/>
    <w:rsid w:val="54710304"/>
    <w:rsid w:val="547D471A"/>
    <w:rsid w:val="54841FC1"/>
    <w:rsid w:val="54871B54"/>
    <w:rsid w:val="548E6C4D"/>
    <w:rsid w:val="549F3EDE"/>
    <w:rsid w:val="54AA3CD9"/>
    <w:rsid w:val="54B76615"/>
    <w:rsid w:val="54C6195C"/>
    <w:rsid w:val="54C70B06"/>
    <w:rsid w:val="54C87263"/>
    <w:rsid w:val="54CB5C2D"/>
    <w:rsid w:val="54D3720E"/>
    <w:rsid w:val="54EA3219"/>
    <w:rsid w:val="550118A5"/>
    <w:rsid w:val="55326A0C"/>
    <w:rsid w:val="55460CEB"/>
    <w:rsid w:val="55522F9E"/>
    <w:rsid w:val="55533803"/>
    <w:rsid w:val="55676225"/>
    <w:rsid w:val="556868D0"/>
    <w:rsid w:val="557A16A0"/>
    <w:rsid w:val="558E7244"/>
    <w:rsid w:val="559665D7"/>
    <w:rsid w:val="559A22C4"/>
    <w:rsid w:val="559F228F"/>
    <w:rsid w:val="55B30AC0"/>
    <w:rsid w:val="55B44897"/>
    <w:rsid w:val="55B54251"/>
    <w:rsid w:val="55C671C8"/>
    <w:rsid w:val="55E8090D"/>
    <w:rsid w:val="55F32385"/>
    <w:rsid w:val="560330F4"/>
    <w:rsid w:val="562A1609"/>
    <w:rsid w:val="563F74A4"/>
    <w:rsid w:val="56531ADC"/>
    <w:rsid w:val="56537757"/>
    <w:rsid w:val="566B53D2"/>
    <w:rsid w:val="566E0237"/>
    <w:rsid w:val="567B1141"/>
    <w:rsid w:val="567B2684"/>
    <w:rsid w:val="569A3398"/>
    <w:rsid w:val="569B19FB"/>
    <w:rsid w:val="56A655BD"/>
    <w:rsid w:val="56AD7471"/>
    <w:rsid w:val="56D7078F"/>
    <w:rsid w:val="56EB3361"/>
    <w:rsid w:val="56F15F2E"/>
    <w:rsid w:val="56F40954"/>
    <w:rsid w:val="56F72F30"/>
    <w:rsid w:val="56FE64E1"/>
    <w:rsid w:val="570D256E"/>
    <w:rsid w:val="570F6B39"/>
    <w:rsid w:val="572926B1"/>
    <w:rsid w:val="57301450"/>
    <w:rsid w:val="5753468B"/>
    <w:rsid w:val="57557573"/>
    <w:rsid w:val="575B3101"/>
    <w:rsid w:val="5760479D"/>
    <w:rsid w:val="576D43D6"/>
    <w:rsid w:val="577058D7"/>
    <w:rsid w:val="577949A8"/>
    <w:rsid w:val="5779650A"/>
    <w:rsid w:val="57AA1EC2"/>
    <w:rsid w:val="57B6636A"/>
    <w:rsid w:val="57BA33E6"/>
    <w:rsid w:val="57CB6745"/>
    <w:rsid w:val="57F25C54"/>
    <w:rsid w:val="58037259"/>
    <w:rsid w:val="580B1E0B"/>
    <w:rsid w:val="58164A86"/>
    <w:rsid w:val="58220694"/>
    <w:rsid w:val="582E42C9"/>
    <w:rsid w:val="583E0151"/>
    <w:rsid w:val="58603614"/>
    <w:rsid w:val="58615E6E"/>
    <w:rsid w:val="58635793"/>
    <w:rsid w:val="586513D9"/>
    <w:rsid w:val="58784075"/>
    <w:rsid w:val="588C11D6"/>
    <w:rsid w:val="588E2101"/>
    <w:rsid w:val="589148A0"/>
    <w:rsid w:val="58980EE8"/>
    <w:rsid w:val="58B33EAF"/>
    <w:rsid w:val="58E107E9"/>
    <w:rsid w:val="58EF47AD"/>
    <w:rsid w:val="58F6339F"/>
    <w:rsid w:val="58FB1645"/>
    <w:rsid w:val="59033141"/>
    <w:rsid w:val="59055DC8"/>
    <w:rsid w:val="592D1E59"/>
    <w:rsid w:val="59324854"/>
    <w:rsid w:val="59477195"/>
    <w:rsid w:val="59491402"/>
    <w:rsid w:val="59496F45"/>
    <w:rsid w:val="594F459C"/>
    <w:rsid w:val="595C25C6"/>
    <w:rsid w:val="595F13E9"/>
    <w:rsid w:val="59785D4E"/>
    <w:rsid w:val="597E2527"/>
    <w:rsid w:val="59803603"/>
    <w:rsid w:val="59814FAB"/>
    <w:rsid w:val="599C2D95"/>
    <w:rsid w:val="599D32C2"/>
    <w:rsid w:val="59A84CD5"/>
    <w:rsid w:val="59AF5271"/>
    <w:rsid w:val="59C35D87"/>
    <w:rsid w:val="59C84534"/>
    <w:rsid w:val="59CA0DF6"/>
    <w:rsid w:val="59D05539"/>
    <w:rsid w:val="59E12D2E"/>
    <w:rsid w:val="59E23321"/>
    <w:rsid w:val="59E56E97"/>
    <w:rsid w:val="59EE0B0E"/>
    <w:rsid w:val="59F90777"/>
    <w:rsid w:val="5A15188A"/>
    <w:rsid w:val="5A1B27B8"/>
    <w:rsid w:val="5A1F21C8"/>
    <w:rsid w:val="5A2052D4"/>
    <w:rsid w:val="5A206EAC"/>
    <w:rsid w:val="5A321E81"/>
    <w:rsid w:val="5A41505E"/>
    <w:rsid w:val="5A501714"/>
    <w:rsid w:val="5A556CC9"/>
    <w:rsid w:val="5A60385B"/>
    <w:rsid w:val="5A620926"/>
    <w:rsid w:val="5A684BC1"/>
    <w:rsid w:val="5AAA1D47"/>
    <w:rsid w:val="5AB404D1"/>
    <w:rsid w:val="5AC608F3"/>
    <w:rsid w:val="5AC95A0A"/>
    <w:rsid w:val="5ACA2411"/>
    <w:rsid w:val="5ADB73FF"/>
    <w:rsid w:val="5AE31485"/>
    <w:rsid w:val="5AF626D8"/>
    <w:rsid w:val="5AF62900"/>
    <w:rsid w:val="5AFC40F3"/>
    <w:rsid w:val="5B033C9B"/>
    <w:rsid w:val="5B0D46E9"/>
    <w:rsid w:val="5B1A0C10"/>
    <w:rsid w:val="5B1D08FA"/>
    <w:rsid w:val="5B22062D"/>
    <w:rsid w:val="5B2B355B"/>
    <w:rsid w:val="5B344CAA"/>
    <w:rsid w:val="5B345DD5"/>
    <w:rsid w:val="5B3E3090"/>
    <w:rsid w:val="5B4211AC"/>
    <w:rsid w:val="5B563203"/>
    <w:rsid w:val="5B58567D"/>
    <w:rsid w:val="5B736DFC"/>
    <w:rsid w:val="5B74248A"/>
    <w:rsid w:val="5B743134"/>
    <w:rsid w:val="5B7C3A7D"/>
    <w:rsid w:val="5B833551"/>
    <w:rsid w:val="5B8675CA"/>
    <w:rsid w:val="5BA652CD"/>
    <w:rsid w:val="5BAB7A8E"/>
    <w:rsid w:val="5BD42780"/>
    <w:rsid w:val="5BD859BE"/>
    <w:rsid w:val="5BDA1A02"/>
    <w:rsid w:val="5BDA3815"/>
    <w:rsid w:val="5BED0E14"/>
    <w:rsid w:val="5C037471"/>
    <w:rsid w:val="5C100E26"/>
    <w:rsid w:val="5C1A5628"/>
    <w:rsid w:val="5C2811B8"/>
    <w:rsid w:val="5C283752"/>
    <w:rsid w:val="5C4C3CC9"/>
    <w:rsid w:val="5C5C59BB"/>
    <w:rsid w:val="5C656538"/>
    <w:rsid w:val="5C686404"/>
    <w:rsid w:val="5C6A1E8C"/>
    <w:rsid w:val="5C6F3AA2"/>
    <w:rsid w:val="5C85298F"/>
    <w:rsid w:val="5C866408"/>
    <w:rsid w:val="5CCD7C02"/>
    <w:rsid w:val="5CDC5778"/>
    <w:rsid w:val="5CE70DB3"/>
    <w:rsid w:val="5CEB1C89"/>
    <w:rsid w:val="5CF20C05"/>
    <w:rsid w:val="5CF4707B"/>
    <w:rsid w:val="5CF617C9"/>
    <w:rsid w:val="5CFA5FCC"/>
    <w:rsid w:val="5D047764"/>
    <w:rsid w:val="5D047EE8"/>
    <w:rsid w:val="5D126228"/>
    <w:rsid w:val="5D1949C1"/>
    <w:rsid w:val="5D1F3C0E"/>
    <w:rsid w:val="5D265AC7"/>
    <w:rsid w:val="5D2A1890"/>
    <w:rsid w:val="5D2B3523"/>
    <w:rsid w:val="5D3A42DC"/>
    <w:rsid w:val="5D4962D8"/>
    <w:rsid w:val="5D59774A"/>
    <w:rsid w:val="5D657945"/>
    <w:rsid w:val="5D7A7533"/>
    <w:rsid w:val="5D98434B"/>
    <w:rsid w:val="5DA41CA9"/>
    <w:rsid w:val="5DA759DF"/>
    <w:rsid w:val="5DCE771F"/>
    <w:rsid w:val="5DD01F66"/>
    <w:rsid w:val="5DD3556C"/>
    <w:rsid w:val="5DDC34B6"/>
    <w:rsid w:val="5DE6704B"/>
    <w:rsid w:val="5DEC3B70"/>
    <w:rsid w:val="5DF84369"/>
    <w:rsid w:val="5DF92DCB"/>
    <w:rsid w:val="5E091FB5"/>
    <w:rsid w:val="5E0C7A7F"/>
    <w:rsid w:val="5E184D9B"/>
    <w:rsid w:val="5E280CB5"/>
    <w:rsid w:val="5E30253D"/>
    <w:rsid w:val="5E447267"/>
    <w:rsid w:val="5E4A572D"/>
    <w:rsid w:val="5E503443"/>
    <w:rsid w:val="5E5667A6"/>
    <w:rsid w:val="5E676802"/>
    <w:rsid w:val="5E6C7C78"/>
    <w:rsid w:val="5E72699B"/>
    <w:rsid w:val="5E7C48A0"/>
    <w:rsid w:val="5E815CED"/>
    <w:rsid w:val="5E887A26"/>
    <w:rsid w:val="5EC51A75"/>
    <w:rsid w:val="5EC56393"/>
    <w:rsid w:val="5ED80695"/>
    <w:rsid w:val="5EF078DD"/>
    <w:rsid w:val="5EFC3B4B"/>
    <w:rsid w:val="5EFE34A1"/>
    <w:rsid w:val="5F060F32"/>
    <w:rsid w:val="5F173FD8"/>
    <w:rsid w:val="5F2D5831"/>
    <w:rsid w:val="5F3813FB"/>
    <w:rsid w:val="5F6A15CC"/>
    <w:rsid w:val="5F6C1B0E"/>
    <w:rsid w:val="5F6E2815"/>
    <w:rsid w:val="5F7C06D8"/>
    <w:rsid w:val="5F9A6E65"/>
    <w:rsid w:val="5FB11334"/>
    <w:rsid w:val="5FCC0E64"/>
    <w:rsid w:val="5FD9462B"/>
    <w:rsid w:val="5FDD41A5"/>
    <w:rsid w:val="5FE138F7"/>
    <w:rsid w:val="5FEF2F82"/>
    <w:rsid w:val="5FFB6305"/>
    <w:rsid w:val="60011320"/>
    <w:rsid w:val="600A0FBC"/>
    <w:rsid w:val="600F1B92"/>
    <w:rsid w:val="602C76B3"/>
    <w:rsid w:val="60356A78"/>
    <w:rsid w:val="603703A7"/>
    <w:rsid w:val="6057025C"/>
    <w:rsid w:val="60686FE8"/>
    <w:rsid w:val="606F133D"/>
    <w:rsid w:val="607F2EC7"/>
    <w:rsid w:val="60916901"/>
    <w:rsid w:val="60981D0D"/>
    <w:rsid w:val="60993336"/>
    <w:rsid w:val="60A27DAC"/>
    <w:rsid w:val="60B31978"/>
    <w:rsid w:val="60B91733"/>
    <w:rsid w:val="60BA4D73"/>
    <w:rsid w:val="60BE0FCD"/>
    <w:rsid w:val="60E4794E"/>
    <w:rsid w:val="60EC1304"/>
    <w:rsid w:val="61057C99"/>
    <w:rsid w:val="610B115D"/>
    <w:rsid w:val="612650A2"/>
    <w:rsid w:val="61275225"/>
    <w:rsid w:val="612C0D97"/>
    <w:rsid w:val="614041D7"/>
    <w:rsid w:val="61407350"/>
    <w:rsid w:val="6158340A"/>
    <w:rsid w:val="615D2B61"/>
    <w:rsid w:val="6167419C"/>
    <w:rsid w:val="616C655B"/>
    <w:rsid w:val="616E381D"/>
    <w:rsid w:val="61A21ED5"/>
    <w:rsid w:val="61BA5EFD"/>
    <w:rsid w:val="61BB5E1F"/>
    <w:rsid w:val="61C7660C"/>
    <w:rsid w:val="61D81BE2"/>
    <w:rsid w:val="61E93AD6"/>
    <w:rsid w:val="620100B1"/>
    <w:rsid w:val="621165DD"/>
    <w:rsid w:val="62190F45"/>
    <w:rsid w:val="62193B80"/>
    <w:rsid w:val="621B4181"/>
    <w:rsid w:val="62353B47"/>
    <w:rsid w:val="624076D6"/>
    <w:rsid w:val="62594A3F"/>
    <w:rsid w:val="62625E3B"/>
    <w:rsid w:val="626B4F1C"/>
    <w:rsid w:val="62760400"/>
    <w:rsid w:val="62836620"/>
    <w:rsid w:val="628B1EAF"/>
    <w:rsid w:val="628C53F9"/>
    <w:rsid w:val="629A25D8"/>
    <w:rsid w:val="62A20B07"/>
    <w:rsid w:val="62A414E0"/>
    <w:rsid w:val="62CC77CB"/>
    <w:rsid w:val="62F31DC3"/>
    <w:rsid w:val="62F3784F"/>
    <w:rsid w:val="62FF3FB5"/>
    <w:rsid w:val="63021DE2"/>
    <w:rsid w:val="63112339"/>
    <w:rsid w:val="632C2662"/>
    <w:rsid w:val="63417E7B"/>
    <w:rsid w:val="63507A3A"/>
    <w:rsid w:val="639024F9"/>
    <w:rsid w:val="63AA5332"/>
    <w:rsid w:val="63BE101D"/>
    <w:rsid w:val="63BF56EA"/>
    <w:rsid w:val="63C37AE1"/>
    <w:rsid w:val="63C61233"/>
    <w:rsid w:val="63C65975"/>
    <w:rsid w:val="63FF6AFB"/>
    <w:rsid w:val="6422154F"/>
    <w:rsid w:val="642A2A58"/>
    <w:rsid w:val="642F0F0D"/>
    <w:rsid w:val="642F18AF"/>
    <w:rsid w:val="64370026"/>
    <w:rsid w:val="64391A57"/>
    <w:rsid w:val="64513897"/>
    <w:rsid w:val="64585109"/>
    <w:rsid w:val="645F7031"/>
    <w:rsid w:val="647A0B0C"/>
    <w:rsid w:val="647C31C7"/>
    <w:rsid w:val="64802831"/>
    <w:rsid w:val="64881679"/>
    <w:rsid w:val="6499162D"/>
    <w:rsid w:val="649F7EFD"/>
    <w:rsid w:val="64B05450"/>
    <w:rsid w:val="64B55A95"/>
    <w:rsid w:val="64B64B66"/>
    <w:rsid w:val="64B86E2A"/>
    <w:rsid w:val="64C12A40"/>
    <w:rsid w:val="64C15487"/>
    <w:rsid w:val="64C51685"/>
    <w:rsid w:val="64CE3488"/>
    <w:rsid w:val="64D17E1B"/>
    <w:rsid w:val="64E07F0A"/>
    <w:rsid w:val="64EB4E6B"/>
    <w:rsid w:val="64EF7BC2"/>
    <w:rsid w:val="65137300"/>
    <w:rsid w:val="651B12CD"/>
    <w:rsid w:val="651C6092"/>
    <w:rsid w:val="65217998"/>
    <w:rsid w:val="6526740F"/>
    <w:rsid w:val="65531FFE"/>
    <w:rsid w:val="6556674F"/>
    <w:rsid w:val="655F2B6C"/>
    <w:rsid w:val="657A3052"/>
    <w:rsid w:val="65862CD9"/>
    <w:rsid w:val="6588686F"/>
    <w:rsid w:val="65960579"/>
    <w:rsid w:val="659E46D8"/>
    <w:rsid w:val="65A562E5"/>
    <w:rsid w:val="65A57048"/>
    <w:rsid w:val="65A80873"/>
    <w:rsid w:val="65B50E5A"/>
    <w:rsid w:val="65D522AE"/>
    <w:rsid w:val="65D54781"/>
    <w:rsid w:val="65D73F1F"/>
    <w:rsid w:val="65E06427"/>
    <w:rsid w:val="65F24A77"/>
    <w:rsid w:val="660148D8"/>
    <w:rsid w:val="660867AF"/>
    <w:rsid w:val="661A7503"/>
    <w:rsid w:val="662077F8"/>
    <w:rsid w:val="662C3C5B"/>
    <w:rsid w:val="662D27C6"/>
    <w:rsid w:val="66343E7B"/>
    <w:rsid w:val="66392EF8"/>
    <w:rsid w:val="663D2944"/>
    <w:rsid w:val="66452FE9"/>
    <w:rsid w:val="665F7291"/>
    <w:rsid w:val="66746584"/>
    <w:rsid w:val="667509D4"/>
    <w:rsid w:val="66757906"/>
    <w:rsid w:val="66766886"/>
    <w:rsid w:val="6676744B"/>
    <w:rsid w:val="66797F31"/>
    <w:rsid w:val="66840CB6"/>
    <w:rsid w:val="668D7DF1"/>
    <w:rsid w:val="669B3106"/>
    <w:rsid w:val="66A86712"/>
    <w:rsid w:val="66D60DB1"/>
    <w:rsid w:val="66E561D8"/>
    <w:rsid w:val="66F00AF0"/>
    <w:rsid w:val="66F056E0"/>
    <w:rsid w:val="66FB6B10"/>
    <w:rsid w:val="6700750E"/>
    <w:rsid w:val="67252665"/>
    <w:rsid w:val="674E3F7B"/>
    <w:rsid w:val="67580868"/>
    <w:rsid w:val="675D4C81"/>
    <w:rsid w:val="67610EFA"/>
    <w:rsid w:val="67677D55"/>
    <w:rsid w:val="67702A78"/>
    <w:rsid w:val="678100D0"/>
    <w:rsid w:val="678A2395"/>
    <w:rsid w:val="678D5B85"/>
    <w:rsid w:val="67995A29"/>
    <w:rsid w:val="679E2A41"/>
    <w:rsid w:val="67A13BBD"/>
    <w:rsid w:val="67A3675D"/>
    <w:rsid w:val="67DC482A"/>
    <w:rsid w:val="67E55620"/>
    <w:rsid w:val="67EA5494"/>
    <w:rsid w:val="67ED1ADF"/>
    <w:rsid w:val="67F51EA5"/>
    <w:rsid w:val="67FF660C"/>
    <w:rsid w:val="680763F4"/>
    <w:rsid w:val="68091997"/>
    <w:rsid w:val="68105560"/>
    <w:rsid w:val="68130960"/>
    <w:rsid w:val="68136281"/>
    <w:rsid w:val="6815717B"/>
    <w:rsid w:val="681B7F08"/>
    <w:rsid w:val="68347A35"/>
    <w:rsid w:val="6848340A"/>
    <w:rsid w:val="684D6D87"/>
    <w:rsid w:val="685043E4"/>
    <w:rsid w:val="68525B9B"/>
    <w:rsid w:val="685271AF"/>
    <w:rsid w:val="687D0874"/>
    <w:rsid w:val="688432AD"/>
    <w:rsid w:val="6886482A"/>
    <w:rsid w:val="688E57BC"/>
    <w:rsid w:val="68904BFB"/>
    <w:rsid w:val="68A0499E"/>
    <w:rsid w:val="68A66D7D"/>
    <w:rsid w:val="68AE3670"/>
    <w:rsid w:val="68AF5A07"/>
    <w:rsid w:val="68C332BA"/>
    <w:rsid w:val="68C708F2"/>
    <w:rsid w:val="68CE60F2"/>
    <w:rsid w:val="68D56251"/>
    <w:rsid w:val="68DC7A0E"/>
    <w:rsid w:val="68E8204E"/>
    <w:rsid w:val="68EF5946"/>
    <w:rsid w:val="68FF6567"/>
    <w:rsid w:val="693118AD"/>
    <w:rsid w:val="69603C4B"/>
    <w:rsid w:val="69614422"/>
    <w:rsid w:val="69683F1C"/>
    <w:rsid w:val="698C284C"/>
    <w:rsid w:val="69930E11"/>
    <w:rsid w:val="699A5F99"/>
    <w:rsid w:val="699C0EF8"/>
    <w:rsid w:val="69AB5DBB"/>
    <w:rsid w:val="69B7386F"/>
    <w:rsid w:val="69B7395C"/>
    <w:rsid w:val="69B840F1"/>
    <w:rsid w:val="69B86FDA"/>
    <w:rsid w:val="69C47EA2"/>
    <w:rsid w:val="69C91948"/>
    <w:rsid w:val="6A1E2115"/>
    <w:rsid w:val="6A2826A1"/>
    <w:rsid w:val="6A2A7760"/>
    <w:rsid w:val="6A3863E4"/>
    <w:rsid w:val="6A4E56A1"/>
    <w:rsid w:val="6A551347"/>
    <w:rsid w:val="6A5660EE"/>
    <w:rsid w:val="6A5D1911"/>
    <w:rsid w:val="6A5D1CAD"/>
    <w:rsid w:val="6A9F3407"/>
    <w:rsid w:val="6AA45AEE"/>
    <w:rsid w:val="6AAA05A9"/>
    <w:rsid w:val="6AAA7D05"/>
    <w:rsid w:val="6AC2581C"/>
    <w:rsid w:val="6ACA46EF"/>
    <w:rsid w:val="6AD729B6"/>
    <w:rsid w:val="6ADE6678"/>
    <w:rsid w:val="6AE068FC"/>
    <w:rsid w:val="6AE60B4C"/>
    <w:rsid w:val="6B096A1E"/>
    <w:rsid w:val="6B1F6776"/>
    <w:rsid w:val="6B3529D0"/>
    <w:rsid w:val="6B3C6A10"/>
    <w:rsid w:val="6B532C58"/>
    <w:rsid w:val="6B5B3158"/>
    <w:rsid w:val="6B726A7C"/>
    <w:rsid w:val="6B786951"/>
    <w:rsid w:val="6B8902B7"/>
    <w:rsid w:val="6B945B80"/>
    <w:rsid w:val="6B9D4DE1"/>
    <w:rsid w:val="6BA87CE1"/>
    <w:rsid w:val="6BBA5C26"/>
    <w:rsid w:val="6BBE0ADD"/>
    <w:rsid w:val="6BC041B4"/>
    <w:rsid w:val="6BC644EC"/>
    <w:rsid w:val="6BE60592"/>
    <w:rsid w:val="6BE963BE"/>
    <w:rsid w:val="6BF54FD0"/>
    <w:rsid w:val="6C022AB0"/>
    <w:rsid w:val="6C0F365E"/>
    <w:rsid w:val="6C1E4248"/>
    <w:rsid w:val="6C2B73E4"/>
    <w:rsid w:val="6C2E2CA9"/>
    <w:rsid w:val="6C3E3641"/>
    <w:rsid w:val="6C5D2BAE"/>
    <w:rsid w:val="6C63093B"/>
    <w:rsid w:val="6C740601"/>
    <w:rsid w:val="6CA45DE1"/>
    <w:rsid w:val="6CAF5A8D"/>
    <w:rsid w:val="6CC47301"/>
    <w:rsid w:val="6CD85C69"/>
    <w:rsid w:val="6CF74F9B"/>
    <w:rsid w:val="6D005EF7"/>
    <w:rsid w:val="6D24615E"/>
    <w:rsid w:val="6D344A05"/>
    <w:rsid w:val="6D464DCC"/>
    <w:rsid w:val="6D47048F"/>
    <w:rsid w:val="6D4B053C"/>
    <w:rsid w:val="6D616216"/>
    <w:rsid w:val="6D6263F4"/>
    <w:rsid w:val="6D6A77F1"/>
    <w:rsid w:val="6D7A5417"/>
    <w:rsid w:val="6D82717B"/>
    <w:rsid w:val="6D864BA0"/>
    <w:rsid w:val="6D932C97"/>
    <w:rsid w:val="6D9D391A"/>
    <w:rsid w:val="6DA225C5"/>
    <w:rsid w:val="6DA25119"/>
    <w:rsid w:val="6DB17B56"/>
    <w:rsid w:val="6DB630F7"/>
    <w:rsid w:val="6DC213CD"/>
    <w:rsid w:val="6DDA2AD0"/>
    <w:rsid w:val="6DF3029B"/>
    <w:rsid w:val="6DF83116"/>
    <w:rsid w:val="6E04099A"/>
    <w:rsid w:val="6E0E61FC"/>
    <w:rsid w:val="6E3101C1"/>
    <w:rsid w:val="6E451A64"/>
    <w:rsid w:val="6E585527"/>
    <w:rsid w:val="6E5E11FA"/>
    <w:rsid w:val="6E67698D"/>
    <w:rsid w:val="6E6839F7"/>
    <w:rsid w:val="6E6C1EEA"/>
    <w:rsid w:val="6E6F6D4B"/>
    <w:rsid w:val="6E733F82"/>
    <w:rsid w:val="6E874489"/>
    <w:rsid w:val="6EA0744D"/>
    <w:rsid w:val="6EA3291D"/>
    <w:rsid w:val="6EA67504"/>
    <w:rsid w:val="6EB075E8"/>
    <w:rsid w:val="6EB46906"/>
    <w:rsid w:val="6EDD75A0"/>
    <w:rsid w:val="6EE05A61"/>
    <w:rsid w:val="6EE969DB"/>
    <w:rsid w:val="6EEF64D8"/>
    <w:rsid w:val="6F0D2298"/>
    <w:rsid w:val="6F1F678A"/>
    <w:rsid w:val="6F2F21E0"/>
    <w:rsid w:val="6F371459"/>
    <w:rsid w:val="6F37324B"/>
    <w:rsid w:val="6F4501D2"/>
    <w:rsid w:val="6F4B77AB"/>
    <w:rsid w:val="6F502FCD"/>
    <w:rsid w:val="6F5A407F"/>
    <w:rsid w:val="6F9045BD"/>
    <w:rsid w:val="6F92083A"/>
    <w:rsid w:val="6F991282"/>
    <w:rsid w:val="6FAD4095"/>
    <w:rsid w:val="6FAF5BF4"/>
    <w:rsid w:val="6FB0436A"/>
    <w:rsid w:val="6FB94701"/>
    <w:rsid w:val="6FD071A2"/>
    <w:rsid w:val="6FD57D31"/>
    <w:rsid w:val="6FD624BE"/>
    <w:rsid w:val="6FD969D9"/>
    <w:rsid w:val="6FDF42CC"/>
    <w:rsid w:val="700A32D4"/>
    <w:rsid w:val="70193B78"/>
    <w:rsid w:val="70512274"/>
    <w:rsid w:val="705C4C37"/>
    <w:rsid w:val="70675D14"/>
    <w:rsid w:val="7071512F"/>
    <w:rsid w:val="708006AE"/>
    <w:rsid w:val="70836044"/>
    <w:rsid w:val="70892925"/>
    <w:rsid w:val="70963635"/>
    <w:rsid w:val="709E757C"/>
    <w:rsid w:val="70AB6982"/>
    <w:rsid w:val="70B960E4"/>
    <w:rsid w:val="70CE2945"/>
    <w:rsid w:val="70D4579F"/>
    <w:rsid w:val="710003A8"/>
    <w:rsid w:val="710F0BB8"/>
    <w:rsid w:val="71190285"/>
    <w:rsid w:val="71194261"/>
    <w:rsid w:val="711C5BB5"/>
    <w:rsid w:val="71404446"/>
    <w:rsid w:val="71412131"/>
    <w:rsid w:val="7144689C"/>
    <w:rsid w:val="715428C6"/>
    <w:rsid w:val="717E5F2F"/>
    <w:rsid w:val="71885178"/>
    <w:rsid w:val="718B15C7"/>
    <w:rsid w:val="71915963"/>
    <w:rsid w:val="7196561A"/>
    <w:rsid w:val="71B2274D"/>
    <w:rsid w:val="71BF4E45"/>
    <w:rsid w:val="71C20258"/>
    <w:rsid w:val="71CC7EBE"/>
    <w:rsid w:val="71D20555"/>
    <w:rsid w:val="71D51D15"/>
    <w:rsid w:val="71DA77B8"/>
    <w:rsid w:val="71E51949"/>
    <w:rsid w:val="71E876E4"/>
    <w:rsid w:val="71FA4804"/>
    <w:rsid w:val="72162F09"/>
    <w:rsid w:val="72221852"/>
    <w:rsid w:val="7223255F"/>
    <w:rsid w:val="72275529"/>
    <w:rsid w:val="72342E42"/>
    <w:rsid w:val="72355C90"/>
    <w:rsid w:val="72370EF3"/>
    <w:rsid w:val="723E1C2C"/>
    <w:rsid w:val="724A0B59"/>
    <w:rsid w:val="724B3C7A"/>
    <w:rsid w:val="724E0E69"/>
    <w:rsid w:val="72522107"/>
    <w:rsid w:val="725242F9"/>
    <w:rsid w:val="7258227F"/>
    <w:rsid w:val="725F179B"/>
    <w:rsid w:val="72630317"/>
    <w:rsid w:val="72713F85"/>
    <w:rsid w:val="72725AF0"/>
    <w:rsid w:val="727E25B6"/>
    <w:rsid w:val="727F253E"/>
    <w:rsid w:val="72854F50"/>
    <w:rsid w:val="7289264C"/>
    <w:rsid w:val="729D06EF"/>
    <w:rsid w:val="72A264DB"/>
    <w:rsid w:val="72BD48D1"/>
    <w:rsid w:val="72C65D78"/>
    <w:rsid w:val="72D7336E"/>
    <w:rsid w:val="72DC7AEF"/>
    <w:rsid w:val="72EC5313"/>
    <w:rsid w:val="72ED732C"/>
    <w:rsid w:val="72FD0906"/>
    <w:rsid w:val="730333E9"/>
    <w:rsid w:val="73281086"/>
    <w:rsid w:val="73405A89"/>
    <w:rsid w:val="73795D74"/>
    <w:rsid w:val="738D5D75"/>
    <w:rsid w:val="739509FA"/>
    <w:rsid w:val="73A80755"/>
    <w:rsid w:val="73B845C4"/>
    <w:rsid w:val="73C4164C"/>
    <w:rsid w:val="73CC653A"/>
    <w:rsid w:val="73CC7B9B"/>
    <w:rsid w:val="73CF4E08"/>
    <w:rsid w:val="73D159A1"/>
    <w:rsid w:val="73F35C20"/>
    <w:rsid w:val="73F62412"/>
    <w:rsid w:val="73F8462A"/>
    <w:rsid w:val="741640DF"/>
    <w:rsid w:val="741D2D43"/>
    <w:rsid w:val="74272AC2"/>
    <w:rsid w:val="74306B8E"/>
    <w:rsid w:val="74366914"/>
    <w:rsid w:val="744271F3"/>
    <w:rsid w:val="745F4062"/>
    <w:rsid w:val="746B51AF"/>
    <w:rsid w:val="74764B0B"/>
    <w:rsid w:val="7486761F"/>
    <w:rsid w:val="7487699B"/>
    <w:rsid w:val="748E4BFA"/>
    <w:rsid w:val="74A32C1C"/>
    <w:rsid w:val="74D65D6C"/>
    <w:rsid w:val="74DF558B"/>
    <w:rsid w:val="74EE1D1B"/>
    <w:rsid w:val="74F826B3"/>
    <w:rsid w:val="75033632"/>
    <w:rsid w:val="75067D82"/>
    <w:rsid w:val="75091006"/>
    <w:rsid w:val="750B7FF3"/>
    <w:rsid w:val="75152359"/>
    <w:rsid w:val="7517680B"/>
    <w:rsid w:val="751E0DB8"/>
    <w:rsid w:val="751F4296"/>
    <w:rsid w:val="752955C7"/>
    <w:rsid w:val="752A1251"/>
    <w:rsid w:val="75435EC1"/>
    <w:rsid w:val="75473AB6"/>
    <w:rsid w:val="755A639D"/>
    <w:rsid w:val="75612341"/>
    <w:rsid w:val="75795C17"/>
    <w:rsid w:val="75882465"/>
    <w:rsid w:val="758B79F5"/>
    <w:rsid w:val="75903238"/>
    <w:rsid w:val="7590399D"/>
    <w:rsid w:val="75A143DD"/>
    <w:rsid w:val="75CA48E7"/>
    <w:rsid w:val="75D76645"/>
    <w:rsid w:val="75E027FD"/>
    <w:rsid w:val="75EF4AB0"/>
    <w:rsid w:val="75F77021"/>
    <w:rsid w:val="762A620A"/>
    <w:rsid w:val="76382936"/>
    <w:rsid w:val="765629A7"/>
    <w:rsid w:val="766D4519"/>
    <w:rsid w:val="76752691"/>
    <w:rsid w:val="767742EB"/>
    <w:rsid w:val="76924971"/>
    <w:rsid w:val="76933E2E"/>
    <w:rsid w:val="76A27B4C"/>
    <w:rsid w:val="76A64C6F"/>
    <w:rsid w:val="76B918A6"/>
    <w:rsid w:val="76BC587C"/>
    <w:rsid w:val="76BF7808"/>
    <w:rsid w:val="76C00AFC"/>
    <w:rsid w:val="76DF5BF8"/>
    <w:rsid w:val="76EB0ECA"/>
    <w:rsid w:val="76ED1347"/>
    <w:rsid w:val="76F433E8"/>
    <w:rsid w:val="77183E7D"/>
    <w:rsid w:val="771946D8"/>
    <w:rsid w:val="771A42A1"/>
    <w:rsid w:val="772268FD"/>
    <w:rsid w:val="77355D35"/>
    <w:rsid w:val="77474684"/>
    <w:rsid w:val="775666E2"/>
    <w:rsid w:val="779205B0"/>
    <w:rsid w:val="7792660F"/>
    <w:rsid w:val="77A26022"/>
    <w:rsid w:val="77A82770"/>
    <w:rsid w:val="77B01B2E"/>
    <w:rsid w:val="77BD7E72"/>
    <w:rsid w:val="77C87E3E"/>
    <w:rsid w:val="77ED0386"/>
    <w:rsid w:val="77F41D67"/>
    <w:rsid w:val="77F72469"/>
    <w:rsid w:val="77F7547B"/>
    <w:rsid w:val="78006B8A"/>
    <w:rsid w:val="78366B8C"/>
    <w:rsid w:val="783B287A"/>
    <w:rsid w:val="78482C69"/>
    <w:rsid w:val="784E2073"/>
    <w:rsid w:val="785D75AE"/>
    <w:rsid w:val="785F4041"/>
    <w:rsid w:val="788B3E1B"/>
    <w:rsid w:val="78AE6E9C"/>
    <w:rsid w:val="78B43B82"/>
    <w:rsid w:val="78BB76EA"/>
    <w:rsid w:val="78F65C61"/>
    <w:rsid w:val="78FB1BD1"/>
    <w:rsid w:val="79047B25"/>
    <w:rsid w:val="79072F5A"/>
    <w:rsid w:val="791042B9"/>
    <w:rsid w:val="79146E6B"/>
    <w:rsid w:val="79213328"/>
    <w:rsid w:val="792705B6"/>
    <w:rsid w:val="79364FF2"/>
    <w:rsid w:val="79403759"/>
    <w:rsid w:val="79423C50"/>
    <w:rsid w:val="7954140E"/>
    <w:rsid w:val="7964511F"/>
    <w:rsid w:val="798C6EC4"/>
    <w:rsid w:val="798E2873"/>
    <w:rsid w:val="799E7491"/>
    <w:rsid w:val="799F3F47"/>
    <w:rsid w:val="79A72484"/>
    <w:rsid w:val="79BA02B6"/>
    <w:rsid w:val="79BA471D"/>
    <w:rsid w:val="79C32E74"/>
    <w:rsid w:val="79C677D6"/>
    <w:rsid w:val="79DB1308"/>
    <w:rsid w:val="79DF005F"/>
    <w:rsid w:val="79E028EC"/>
    <w:rsid w:val="79F574FB"/>
    <w:rsid w:val="7A114E8A"/>
    <w:rsid w:val="7A1304C9"/>
    <w:rsid w:val="7A1C5B1C"/>
    <w:rsid w:val="7A4653BA"/>
    <w:rsid w:val="7A4D2D0C"/>
    <w:rsid w:val="7A623BC4"/>
    <w:rsid w:val="7A765EEC"/>
    <w:rsid w:val="7A790CA9"/>
    <w:rsid w:val="7AB83F1D"/>
    <w:rsid w:val="7ACA4FB3"/>
    <w:rsid w:val="7AD234FC"/>
    <w:rsid w:val="7ADF56A1"/>
    <w:rsid w:val="7AE2061C"/>
    <w:rsid w:val="7AFC3FF1"/>
    <w:rsid w:val="7B002131"/>
    <w:rsid w:val="7B063CF4"/>
    <w:rsid w:val="7B0864F6"/>
    <w:rsid w:val="7B1B16D3"/>
    <w:rsid w:val="7B2E6780"/>
    <w:rsid w:val="7B3D7D31"/>
    <w:rsid w:val="7B517AEE"/>
    <w:rsid w:val="7B5D217A"/>
    <w:rsid w:val="7B614801"/>
    <w:rsid w:val="7B674E23"/>
    <w:rsid w:val="7B684A54"/>
    <w:rsid w:val="7B724CBB"/>
    <w:rsid w:val="7B8F549D"/>
    <w:rsid w:val="7B913B86"/>
    <w:rsid w:val="7B922D07"/>
    <w:rsid w:val="7B97422A"/>
    <w:rsid w:val="7BA33BED"/>
    <w:rsid w:val="7BA969F0"/>
    <w:rsid w:val="7BB31B68"/>
    <w:rsid w:val="7BCB3FDA"/>
    <w:rsid w:val="7BE44FA6"/>
    <w:rsid w:val="7BEF6F31"/>
    <w:rsid w:val="7C071C5F"/>
    <w:rsid w:val="7C194469"/>
    <w:rsid w:val="7C1A2092"/>
    <w:rsid w:val="7C1A6CD5"/>
    <w:rsid w:val="7C1D1104"/>
    <w:rsid w:val="7C2216E0"/>
    <w:rsid w:val="7C2630F4"/>
    <w:rsid w:val="7C2841E1"/>
    <w:rsid w:val="7C3313AF"/>
    <w:rsid w:val="7C45471C"/>
    <w:rsid w:val="7C66172A"/>
    <w:rsid w:val="7C7A22AE"/>
    <w:rsid w:val="7C7C67BD"/>
    <w:rsid w:val="7C7E27D3"/>
    <w:rsid w:val="7C7F3629"/>
    <w:rsid w:val="7C805A27"/>
    <w:rsid w:val="7C8B7A6D"/>
    <w:rsid w:val="7C90110D"/>
    <w:rsid w:val="7C9170A6"/>
    <w:rsid w:val="7C9B6AF6"/>
    <w:rsid w:val="7C9F7A51"/>
    <w:rsid w:val="7CA34622"/>
    <w:rsid w:val="7CC2435F"/>
    <w:rsid w:val="7CCD381D"/>
    <w:rsid w:val="7D050DA4"/>
    <w:rsid w:val="7D0A1590"/>
    <w:rsid w:val="7D1117C5"/>
    <w:rsid w:val="7D267650"/>
    <w:rsid w:val="7D2F6FF7"/>
    <w:rsid w:val="7D303FCF"/>
    <w:rsid w:val="7D332F6D"/>
    <w:rsid w:val="7D3D587B"/>
    <w:rsid w:val="7D4435DF"/>
    <w:rsid w:val="7D5B231F"/>
    <w:rsid w:val="7D693B5B"/>
    <w:rsid w:val="7D694213"/>
    <w:rsid w:val="7D6E6D2F"/>
    <w:rsid w:val="7D9C18DB"/>
    <w:rsid w:val="7DA74DEC"/>
    <w:rsid w:val="7DAB7179"/>
    <w:rsid w:val="7DB838C8"/>
    <w:rsid w:val="7DC23C3E"/>
    <w:rsid w:val="7DCA5633"/>
    <w:rsid w:val="7DDD1389"/>
    <w:rsid w:val="7DEE46EB"/>
    <w:rsid w:val="7DF46E1B"/>
    <w:rsid w:val="7E0464CE"/>
    <w:rsid w:val="7E1B7FF8"/>
    <w:rsid w:val="7E202324"/>
    <w:rsid w:val="7E2C2660"/>
    <w:rsid w:val="7E2D170A"/>
    <w:rsid w:val="7E336176"/>
    <w:rsid w:val="7E346BB8"/>
    <w:rsid w:val="7E3C5C68"/>
    <w:rsid w:val="7E3E6CB5"/>
    <w:rsid w:val="7E476D34"/>
    <w:rsid w:val="7E4D4FA1"/>
    <w:rsid w:val="7E5538D6"/>
    <w:rsid w:val="7E6326CB"/>
    <w:rsid w:val="7E6D6DAE"/>
    <w:rsid w:val="7E72462A"/>
    <w:rsid w:val="7E9B11AA"/>
    <w:rsid w:val="7E9B5AE8"/>
    <w:rsid w:val="7EA32AD0"/>
    <w:rsid w:val="7EC43972"/>
    <w:rsid w:val="7EC43FD1"/>
    <w:rsid w:val="7ED953E3"/>
    <w:rsid w:val="7EE15185"/>
    <w:rsid w:val="7EE94BA3"/>
    <w:rsid w:val="7EF51C64"/>
    <w:rsid w:val="7EF765D0"/>
    <w:rsid w:val="7EF868E4"/>
    <w:rsid w:val="7EF87C96"/>
    <w:rsid w:val="7F097C01"/>
    <w:rsid w:val="7F301B1E"/>
    <w:rsid w:val="7F375D0A"/>
    <w:rsid w:val="7F500CBA"/>
    <w:rsid w:val="7F587DE1"/>
    <w:rsid w:val="7F7132A0"/>
    <w:rsid w:val="7F7C3046"/>
    <w:rsid w:val="7F820D78"/>
    <w:rsid w:val="7F864D1F"/>
    <w:rsid w:val="7F8A4151"/>
    <w:rsid w:val="7F935AA2"/>
    <w:rsid w:val="7F9940C1"/>
    <w:rsid w:val="7FB878BD"/>
    <w:rsid w:val="7FBE2728"/>
    <w:rsid w:val="7FF167C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0" w:afterLines="50" w:line="288" w:lineRule="auto"/>
      <w:jc w:val="both"/>
    </w:pPr>
    <w:rPr>
      <w:rFonts w:ascii="Times New Roman" w:hAnsi="Times New Roman" w:eastAsia="宋体" w:cs="Times New Roman"/>
      <w:lang w:val="en-US" w:eastAsia="zh-CN" w:bidi="ar-SA"/>
    </w:rPr>
  </w:style>
  <w:style w:type="paragraph" w:styleId="2">
    <w:name w:val="heading 1"/>
    <w:basedOn w:val="1"/>
    <w:next w:val="1"/>
    <w:link w:val="61"/>
    <w:qFormat/>
    <w:uiPriority w:val="99"/>
    <w:pPr>
      <w:widowControl w:val="0"/>
      <w:numPr>
        <w:ilvl w:val="0"/>
        <w:numId w:val="1"/>
      </w:numPr>
      <w:tabs>
        <w:tab w:val="left" w:pos="432"/>
      </w:tabs>
      <w:autoSpaceDE w:val="0"/>
      <w:autoSpaceDN w:val="0"/>
      <w:adjustRightInd w:val="0"/>
      <w:spacing w:before="100" w:beforeLines="100" w:after="0" w:line="240" w:lineRule="auto"/>
      <w:outlineLvl w:val="0"/>
    </w:pPr>
    <w:rPr>
      <w:rFonts w:eastAsia="黑体"/>
      <w:b/>
      <w:bCs/>
      <w:sz w:val="30"/>
      <w:szCs w:val="30"/>
      <w:lang w:val="zh-CN"/>
    </w:rPr>
  </w:style>
  <w:style w:type="paragraph" w:styleId="3">
    <w:name w:val="heading 2"/>
    <w:basedOn w:val="2"/>
    <w:next w:val="1"/>
    <w:qFormat/>
    <w:uiPriority w:val="9"/>
    <w:pPr>
      <w:keepNext/>
      <w:keepLines/>
      <w:numPr>
        <w:ilvl w:val="1"/>
      </w:numPr>
      <w:spacing w:after="50"/>
      <w:outlineLvl w:val="1"/>
    </w:pPr>
    <w:rPr>
      <w:sz w:val="28"/>
    </w:rPr>
  </w:style>
  <w:style w:type="paragraph" w:styleId="4">
    <w:name w:val="heading 3"/>
    <w:basedOn w:val="3"/>
    <w:next w:val="1"/>
    <w:link w:val="60"/>
    <w:qFormat/>
    <w:uiPriority w:val="0"/>
    <w:pPr>
      <w:numPr>
        <w:ilvl w:val="2"/>
      </w:numPr>
      <w:tabs>
        <w:tab w:val="left" w:pos="720"/>
      </w:tabs>
      <w:spacing w:line="360" w:lineRule="auto"/>
      <w:outlineLvl w:val="2"/>
    </w:pPr>
    <w:rPr>
      <w:sz w:val="24"/>
      <w:szCs w:val="32"/>
    </w:rPr>
  </w:style>
  <w:style w:type="paragraph" w:styleId="5">
    <w:name w:val="heading 4"/>
    <w:basedOn w:val="4"/>
    <w:next w:val="1"/>
    <w:qFormat/>
    <w:uiPriority w:val="9"/>
    <w:pPr>
      <w:numPr>
        <w:ilvl w:val="3"/>
      </w:numPr>
      <w:outlineLvl w:val="3"/>
    </w:pPr>
  </w:style>
  <w:style w:type="paragraph" w:styleId="6">
    <w:name w:val="heading 5"/>
    <w:basedOn w:val="5"/>
    <w:next w:val="1"/>
    <w:qFormat/>
    <w:uiPriority w:val="9"/>
    <w:pPr>
      <w:numPr>
        <w:ilvl w:val="4"/>
      </w:numPr>
      <w:spacing w:after="0"/>
      <w:outlineLvl w:val="4"/>
    </w:pPr>
    <w:rPr>
      <w:rFonts w:hint="eastAsia" w:ascii="宋体" w:hAnsi="宋体"/>
      <w:color w:val="666666"/>
      <w:sz w:val="20"/>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pPr>
    <w:rPr>
      <w:kern w:val="2"/>
      <w:sz w:val="21"/>
    </w:rPr>
  </w:style>
  <w:style w:type="paragraph" w:styleId="13">
    <w:name w:val="caption"/>
    <w:basedOn w:val="1"/>
    <w:next w:val="1"/>
    <w:link w:val="45"/>
    <w:qFormat/>
    <w:uiPriority w:val="0"/>
    <w:pPr>
      <w:tabs>
        <w:tab w:val="left" w:pos="1418"/>
      </w:tabs>
      <w:spacing w:before="120" w:after="120" w:line="240" w:lineRule="auto"/>
    </w:pPr>
    <w:rPr>
      <w:b/>
      <w:bCs/>
      <w:lang w:val="en-GB" w:eastAsia="sv-SE"/>
    </w:rPr>
  </w:style>
  <w:style w:type="paragraph" w:styleId="14">
    <w:name w:val="Document Map"/>
    <w:basedOn w:val="1"/>
    <w:link w:val="58"/>
    <w:unhideWhenUsed/>
    <w:qFormat/>
    <w:uiPriority w:val="99"/>
    <w:rPr>
      <w:rFonts w:ascii="宋体"/>
      <w:sz w:val="18"/>
      <w:szCs w:val="18"/>
    </w:rPr>
  </w:style>
  <w:style w:type="paragraph" w:styleId="15">
    <w:name w:val="annotation text"/>
    <w:basedOn w:val="1"/>
    <w:link w:val="50"/>
    <w:unhideWhenUsed/>
    <w:qFormat/>
    <w:uiPriority w:val="0"/>
  </w:style>
  <w:style w:type="paragraph" w:styleId="16">
    <w:name w:val="Body Text"/>
    <w:basedOn w:val="1"/>
    <w:link w:val="51"/>
    <w:qFormat/>
    <w:uiPriority w:val="0"/>
    <w:pPr>
      <w:widowControl w:val="0"/>
      <w:spacing w:after="0" w:line="240" w:lineRule="auto"/>
    </w:pPr>
    <w:rPr>
      <w:color w:val="0000FF"/>
      <w:kern w:val="2"/>
      <w:sz w:val="21"/>
    </w:rPr>
  </w:style>
  <w:style w:type="paragraph" w:styleId="17">
    <w:name w:val="List 2"/>
    <w:basedOn w:val="1"/>
    <w:unhideWhenUsed/>
    <w:qFormat/>
    <w:uiPriority w:val="99"/>
    <w:pPr>
      <w:ind w:left="100" w:leftChars="200" w:hanging="200" w:hangingChars="200"/>
      <w:contextualSpacing/>
    </w:pPr>
  </w:style>
  <w:style w:type="paragraph" w:styleId="18">
    <w:name w:val="Balloon Text"/>
    <w:basedOn w:val="1"/>
    <w:link w:val="54"/>
    <w:unhideWhenUsed/>
    <w:qFormat/>
    <w:uiPriority w:val="99"/>
    <w:pPr>
      <w:spacing w:after="0" w:line="240" w:lineRule="auto"/>
    </w:pPr>
    <w:rPr>
      <w:rFonts w:ascii="Tahoma" w:hAnsi="Tahoma"/>
      <w:sz w:val="16"/>
      <w:szCs w:val="16"/>
    </w:rPr>
  </w:style>
  <w:style w:type="paragraph" w:styleId="19">
    <w:name w:val="footer"/>
    <w:basedOn w:val="1"/>
    <w:qFormat/>
    <w:uiPriority w:val="0"/>
    <w:pPr>
      <w:tabs>
        <w:tab w:val="center" w:pos="4153"/>
        <w:tab w:val="right" w:pos="8306"/>
      </w:tabs>
      <w:snapToGrid w:val="0"/>
      <w:spacing w:line="240" w:lineRule="auto"/>
    </w:pPr>
    <w:rPr>
      <w:sz w:val="18"/>
      <w:szCs w:val="18"/>
    </w:rPr>
  </w:style>
  <w:style w:type="paragraph" w:styleId="20">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21">
    <w:name w:val="List"/>
    <w:basedOn w:val="1"/>
    <w:unhideWhenUsed/>
    <w:qFormat/>
    <w:uiPriority w:val="99"/>
    <w:pPr>
      <w:ind w:left="200" w:hanging="200" w:hangingChars="200"/>
      <w:contextualSpacing/>
    </w:pPr>
  </w:style>
  <w:style w:type="paragraph" w:styleId="22">
    <w:name w:val="footnote text"/>
    <w:basedOn w:val="1"/>
    <w:link w:val="38"/>
    <w:semiHidden/>
    <w:qFormat/>
    <w:uiPriority w:val="0"/>
    <w:pPr>
      <w:spacing w:after="0" w:line="240" w:lineRule="auto"/>
    </w:pPr>
    <w:rPr>
      <w:rFonts w:ascii="Times" w:hAnsi="Times" w:eastAsia="Batang"/>
      <w:lang w:eastAsia="en-US"/>
    </w:rPr>
  </w:style>
  <w:style w:type="paragraph" w:styleId="23">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4">
    <w:name w:val="annotation subject"/>
    <w:basedOn w:val="15"/>
    <w:next w:val="15"/>
    <w:link w:val="37"/>
    <w:unhideWhenUsed/>
    <w:qFormat/>
    <w:uiPriority w:val="99"/>
    <w:rPr>
      <w:b/>
      <w:bCs/>
    </w:rPr>
  </w:style>
  <w:style w:type="table" w:styleId="26">
    <w:name w:val="Table Grid"/>
    <w:basedOn w:val="25"/>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7">
    <w:name w:val="Medium Grid 1 Accent 2"/>
    <w:basedOn w:val="25"/>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9">
    <w:name w:val="Strong"/>
    <w:qFormat/>
    <w:uiPriority w:val="22"/>
    <w:rPr>
      <w:b/>
    </w:rPr>
  </w:style>
  <w:style w:type="character" w:styleId="30">
    <w:name w:val="page number"/>
    <w:basedOn w:val="28"/>
    <w:semiHidden/>
    <w:qFormat/>
    <w:uiPriority w:val="0"/>
  </w:style>
  <w:style w:type="character" w:styleId="31">
    <w:name w:val="FollowedHyperlink"/>
    <w:unhideWhenUsed/>
    <w:qFormat/>
    <w:uiPriority w:val="99"/>
    <w:rPr>
      <w:color w:val="2779B6"/>
      <w:u w:val="single"/>
    </w:rPr>
  </w:style>
  <w:style w:type="character" w:styleId="32">
    <w:name w:val="Emphasis"/>
    <w:qFormat/>
    <w:uiPriority w:val="0"/>
    <w:rPr>
      <w:i/>
    </w:rPr>
  </w:style>
  <w:style w:type="character" w:styleId="33">
    <w:name w:val="Hyperlink"/>
    <w:unhideWhenUsed/>
    <w:qFormat/>
    <w:uiPriority w:val="99"/>
    <w:rPr>
      <w:color w:val="2779B6"/>
      <w:u w:val="single"/>
    </w:rPr>
  </w:style>
  <w:style w:type="character" w:styleId="34">
    <w:name w:val="annotation reference"/>
    <w:unhideWhenUsed/>
    <w:qFormat/>
    <w:uiPriority w:val="0"/>
    <w:rPr>
      <w:sz w:val="16"/>
      <w:szCs w:val="16"/>
    </w:rPr>
  </w:style>
  <w:style w:type="character" w:styleId="35">
    <w:name w:val="footnote reference"/>
    <w:semiHidden/>
    <w:qFormat/>
    <w:uiPriority w:val="0"/>
    <w:rPr>
      <w:b/>
      <w:position w:val="6"/>
      <w:sz w:val="16"/>
    </w:rPr>
  </w:style>
  <w:style w:type="character" w:customStyle="1" w:styleId="36">
    <w:name w:val="页眉 Char"/>
    <w:link w:val="20"/>
    <w:qFormat/>
    <w:uiPriority w:val="0"/>
    <w:rPr>
      <w:rFonts w:ascii="Arial" w:hAnsi="Arial" w:eastAsia="MS Mincho"/>
      <w:b/>
      <w:szCs w:val="24"/>
      <w:lang w:eastAsia="en-US"/>
    </w:rPr>
  </w:style>
  <w:style w:type="character" w:customStyle="1" w:styleId="37">
    <w:name w:val="批注主题 Char"/>
    <w:link w:val="24"/>
    <w:semiHidden/>
    <w:qFormat/>
    <w:uiPriority w:val="99"/>
    <w:rPr>
      <w:b/>
      <w:bCs/>
    </w:rPr>
  </w:style>
  <w:style w:type="character" w:customStyle="1" w:styleId="38">
    <w:name w:val="脚注文本 Char"/>
    <w:link w:val="22"/>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link w:val="126"/>
    <w:qFormat/>
    <w:uiPriority w:val="0"/>
    <w:pPr>
      <w:keepNext/>
      <w:keepLines/>
      <w:spacing w:after="0" w:line="240" w:lineRule="auto"/>
    </w:pPr>
    <w:rPr>
      <w:rFonts w:ascii="Arial" w:hAnsi="Arial"/>
      <w:sz w:val="18"/>
      <w:lang w:val="en-GB" w:eastAsia="en-US"/>
    </w:rPr>
  </w:style>
  <w:style w:type="character" w:customStyle="1" w:styleId="44">
    <w:name w:val="apple-converted-space"/>
    <w:basedOn w:val="28"/>
    <w:qFormat/>
    <w:uiPriority w:val="0"/>
  </w:style>
  <w:style w:type="character" w:customStyle="1" w:styleId="45">
    <w:name w:val="题注 Char"/>
    <w:link w:val="13"/>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21"/>
    <w:link w:val="46"/>
    <w:qFormat/>
    <w:uiPriority w:val="0"/>
    <w:pPr>
      <w:spacing w:after="180" w:line="240" w:lineRule="auto"/>
      <w:ind w:left="568" w:hanging="284" w:firstLineChars="0"/>
    </w:pPr>
    <w:rPr>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ind w:firstLine="200" w:firstLineChars="200"/>
    </w:pPr>
    <w:rPr>
      <w:rFonts w:eastAsia="Malgun Gothic"/>
      <w:lang w:val="en-GB" w:eastAsia="ko-KR"/>
    </w:rPr>
  </w:style>
  <w:style w:type="character" w:customStyle="1" w:styleId="50">
    <w:name w:val="批注文字 Char"/>
    <w:basedOn w:val="28"/>
    <w:link w:val="15"/>
    <w:qFormat/>
    <w:uiPriority w:val="0"/>
  </w:style>
  <w:style w:type="character" w:customStyle="1" w:styleId="51">
    <w:name w:val="正文文本 Char"/>
    <w:link w:val="16"/>
    <w:qFormat/>
    <w:uiPriority w:val="0"/>
    <w:rPr>
      <w:rFonts w:ascii="Times New Roman" w:hAnsi="Times New Roman"/>
      <w:color w:val="0000FF"/>
      <w:kern w:val="2"/>
      <w:sz w:val="21"/>
    </w:rPr>
  </w:style>
  <w:style w:type="character" w:customStyle="1" w:styleId="52">
    <w:name w:val="def"/>
    <w:basedOn w:val="28"/>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批注框文本 Char"/>
    <w:link w:val="18"/>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pPr>
    <w:rPr>
      <w:rFonts w:eastAsia="Malgun Gothic"/>
      <w:lang w:val="en-GB" w:eastAsia="ko-KR"/>
    </w:rPr>
  </w:style>
  <w:style w:type="character" w:customStyle="1" w:styleId="57">
    <w:name w:val="word"/>
    <w:basedOn w:val="28"/>
    <w:qFormat/>
    <w:uiPriority w:val="0"/>
  </w:style>
  <w:style w:type="character" w:customStyle="1" w:styleId="58">
    <w:name w:val="文档结构图 Char"/>
    <w:link w:val="14"/>
    <w:semiHidden/>
    <w:qFormat/>
    <w:uiPriority w:val="99"/>
    <w:rPr>
      <w:rFonts w:ascii="宋体"/>
      <w:sz w:val="18"/>
      <w:szCs w:val="18"/>
    </w:rPr>
  </w:style>
  <w:style w:type="character" w:customStyle="1" w:styleId="59">
    <w:name w:val="high-light"/>
    <w:basedOn w:val="28"/>
    <w:qFormat/>
    <w:uiPriority w:val="0"/>
  </w:style>
  <w:style w:type="character" w:customStyle="1" w:styleId="60">
    <w:name w:val="标题 3 Char"/>
    <w:link w:val="4"/>
    <w:qFormat/>
    <w:uiPriority w:val="9"/>
    <w:rPr>
      <w:rFonts w:eastAsia="黑体"/>
      <w:b/>
      <w:bCs/>
      <w:sz w:val="24"/>
      <w:szCs w:val="32"/>
    </w:rPr>
  </w:style>
  <w:style w:type="character" w:customStyle="1" w:styleId="61">
    <w:name w:val="标题 1 Char"/>
    <w:link w:val="2"/>
    <w:qFormat/>
    <w:uiPriority w:val="99"/>
    <w:rPr>
      <w:rFonts w:ascii="Times New Roman" w:hAnsi="Times New Roman" w:eastAsia="黑体"/>
      <w:b/>
      <w:bCs/>
      <w:sz w:val="30"/>
      <w:szCs w:val="30"/>
      <w:lang w:val="zh-CN"/>
    </w:rPr>
  </w:style>
  <w:style w:type="character" w:customStyle="1" w:styleId="62">
    <w:name w:val="pos"/>
    <w:basedOn w:val="28"/>
    <w:qFormat/>
    <w:uiPriority w:val="0"/>
  </w:style>
  <w:style w:type="character" w:customStyle="1" w:styleId="63">
    <w:name w:val="apple-style-span"/>
    <w:basedOn w:val="28"/>
    <w:qFormat/>
    <w:uiPriority w:val="0"/>
  </w:style>
  <w:style w:type="character" w:customStyle="1" w:styleId="64">
    <w:name w:val="ZGSM"/>
    <w:qFormat/>
    <w:uiPriority w:val="0"/>
  </w:style>
  <w:style w:type="paragraph" w:customStyle="1" w:styleId="65">
    <w:name w:val="TAH"/>
    <w:basedOn w:val="42"/>
    <w:link w:val="92"/>
    <w:qFormat/>
    <w:uiPriority w:val="0"/>
    <w:rPr>
      <w:b/>
    </w:rPr>
  </w:style>
  <w:style w:type="paragraph" w:customStyle="1" w:styleId="66">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7">
    <w:name w:val="RAN1 bullet2"/>
    <w:basedOn w:val="1"/>
    <w:qFormat/>
    <w:uiPriority w:val="0"/>
    <w:pPr>
      <w:numPr>
        <w:ilvl w:val="1"/>
        <w:numId w:val="2"/>
      </w:numPr>
    </w:pPr>
  </w:style>
  <w:style w:type="paragraph" w:customStyle="1" w:styleId="68">
    <w:name w:val="PaperTableCell"/>
    <w:basedOn w:val="1"/>
    <w:qFormat/>
    <w:uiPriority w:val="0"/>
    <w:pPr>
      <w:spacing w:after="0" w:line="240" w:lineRule="auto"/>
    </w:pPr>
    <w:rPr>
      <w:rFonts w:eastAsia="Times New Roman"/>
      <w:sz w:val="16"/>
      <w:szCs w:val="24"/>
      <w:lang w:eastAsia="en-US"/>
    </w:rPr>
  </w:style>
  <w:style w:type="paragraph" w:customStyle="1" w:styleId="69">
    <w:name w:val="CR Cover Page"/>
    <w:qFormat/>
    <w:uiPriority w:val="0"/>
    <w:pPr>
      <w:spacing w:after="120" w:line="259" w:lineRule="auto"/>
    </w:pPr>
    <w:rPr>
      <w:rFonts w:ascii="Arial" w:hAnsi="Arial" w:eastAsia="MS Mincho" w:cs="Times New Roman"/>
      <w:lang w:val="en-GB" w:eastAsia="en-US" w:bidi="ar-SA"/>
    </w:rPr>
  </w:style>
  <w:style w:type="paragraph" w:customStyle="1" w:styleId="70">
    <w:name w:val="彩色列表 - 强调文字颜色 11"/>
    <w:basedOn w:val="1"/>
    <w:qFormat/>
    <w:uiPriority w:val="34"/>
    <w:pPr>
      <w:widowControl w:val="0"/>
      <w:spacing w:after="0" w:line="240" w:lineRule="auto"/>
      <w:ind w:firstLine="420" w:firstLineChars="200"/>
    </w:pPr>
    <w:rPr>
      <w:kern w:val="2"/>
      <w:sz w:val="21"/>
    </w:rPr>
  </w:style>
  <w:style w:type="paragraph" w:customStyle="1" w:styleId="71">
    <w:name w:val="EQ"/>
    <w:basedOn w:val="1"/>
    <w:next w:val="1"/>
    <w:qFormat/>
    <w:uiPriority w:val="0"/>
    <w:pPr>
      <w:keepLines/>
      <w:tabs>
        <w:tab w:val="center" w:pos="4536"/>
        <w:tab w:val="right" w:pos="9072"/>
      </w:tabs>
      <w:spacing w:after="180" w:line="240" w:lineRule="auto"/>
    </w:pPr>
    <w:rPr>
      <w:lang w:val="en-GB" w:eastAsia="en-US"/>
    </w:rPr>
  </w:style>
  <w:style w:type="paragraph" w:customStyle="1" w:styleId="72">
    <w:name w:val="Tdoc_Header_2"/>
    <w:basedOn w:val="1"/>
    <w:qFormat/>
    <w:uiPriority w:val="0"/>
    <w:pPr>
      <w:widowControl w:val="0"/>
      <w:tabs>
        <w:tab w:val="left" w:pos="1701"/>
        <w:tab w:val="right" w:pos="9072"/>
        <w:tab w:val="right" w:pos="10206"/>
      </w:tabs>
      <w:spacing w:after="0" w:line="240" w:lineRule="auto"/>
    </w:pPr>
    <w:rPr>
      <w:rFonts w:ascii="Arial" w:hAnsi="Arial" w:eastAsia="Batang"/>
      <w:b/>
      <w:sz w:val="18"/>
      <w:lang w:val="en-GB" w:eastAsia="en-US"/>
    </w:rPr>
  </w:style>
  <w:style w:type="paragraph" w:customStyle="1" w:styleId="73">
    <w:name w:val="RAN1 bullet3"/>
    <w:basedOn w:val="67"/>
    <w:qFormat/>
    <w:uiPriority w:val="0"/>
    <w:pPr>
      <w:numPr>
        <w:ilvl w:val="2"/>
        <w:numId w:val="3"/>
      </w:numPr>
    </w:pPr>
  </w:style>
  <w:style w:type="paragraph" w:customStyle="1" w:styleId="74">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6">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7">
    <w:name w:val="RAN1 bullet1"/>
    <w:basedOn w:val="1"/>
    <w:link w:val="94"/>
    <w:qFormat/>
    <w:uiPriority w:val="0"/>
    <w:pPr>
      <w:numPr>
        <w:ilvl w:val="0"/>
        <w:numId w:val="4"/>
      </w:numPr>
    </w:pPr>
  </w:style>
  <w:style w:type="paragraph" w:customStyle="1" w:styleId="78">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9">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0">
    <w:name w:val="LGTdoc_제목1"/>
    <w:basedOn w:val="1"/>
    <w:qFormat/>
    <w:uiPriority w:val="0"/>
    <w:pPr>
      <w:adjustRightInd w:val="0"/>
      <w:snapToGrid w:val="0"/>
      <w:spacing w:beforeLines="50" w:after="100" w:afterAutospacing="1" w:line="240" w:lineRule="auto"/>
    </w:pPr>
    <w:rPr>
      <w:rFonts w:eastAsia="Batang"/>
      <w:b/>
      <w:snapToGrid w:val="0"/>
      <w:sz w:val="28"/>
      <w:lang w:val="en-GB" w:eastAsia="ko-KR"/>
    </w:rPr>
  </w:style>
  <w:style w:type="paragraph" w:customStyle="1" w:styleId="81">
    <w:name w:val="表格文字居左"/>
    <w:basedOn w:val="1"/>
    <w:next w:val="1"/>
    <w:qFormat/>
    <w:uiPriority w:val="0"/>
    <w:pPr>
      <w:widowControl w:val="0"/>
      <w:spacing w:after="0" w:line="240" w:lineRule="auto"/>
    </w:pPr>
    <w:rPr>
      <w:rFonts w:ascii="Arial" w:hAnsi="Arial" w:cs="宋体"/>
      <w:kern w:val="2"/>
      <w:sz w:val="21"/>
    </w:rPr>
  </w:style>
  <w:style w:type="paragraph" w:customStyle="1" w:styleId="82">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3">
    <w:name w:val="RAN1 text"/>
    <w:basedOn w:val="16"/>
    <w:link w:val="93"/>
    <w:qFormat/>
    <w:uiPriority w:val="0"/>
    <w:rPr>
      <w:rFonts w:eastAsia="MS Mincho"/>
    </w:rPr>
  </w:style>
  <w:style w:type="paragraph" w:customStyle="1" w:styleId="84">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5">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7">
    <w:name w:val="List Paragraph1"/>
    <w:basedOn w:val="1"/>
    <w:qFormat/>
    <w:uiPriority w:val="34"/>
    <w:pPr>
      <w:widowControl w:val="0"/>
      <w:spacing w:after="0" w:line="240" w:lineRule="auto"/>
      <w:ind w:firstLine="420" w:firstLineChars="200"/>
    </w:pPr>
    <w:rPr>
      <w:kern w:val="2"/>
      <w:sz w:val="21"/>
    </w:rPr>
  </w:style>
  <w:style w:type="table" w:customStyle="1" w:styleId="88">
    <w:name w:val="网格型1"/>
    <w:basedOn w:val="25"/>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89">
    <w:name w:val="B1 Zchn"/>
    <w:qFormat/>
    <w:uiPriority w:val="0"/>
    <w:rPr>
      <w:lang w:val="en-GB" w:eastAsia="en-US"/>
    </w:rPr>
  </w:style>
  <w:style w:type="paragraph" w:customStyle="1" w:styleId="90">
    <w:name w:val="text"/>
    <w:basedOn w:val="1"/>
    <w:link w:val="91"/>
    <w:qFormat/>
    <w:uiPriority w:val="0"/>
    <w:pPr>
      <w:widowControl w:val="0"/>
      <w:overflowPunct w:val="0"/>
      <w:autoSpaceDE w:val="0"/>
      <w:autoSpaceDN w:val="0"/>
      <w:adjustRightInd w:val="0"/>
      <w:spacing w:after="240" w:line="240" w:lineRule="auto"/>
      <w:textAlignment w:val="baseline"/>
    </w:pPr>
    <w:rPr>
      <w:sz w:val="24"/>
      <w:lang w:val="en-AU" w:eastAsia="en-GB"/>
    </w:rPr>
  </w:style>
  <w:style w:type="character" w:customStyle="1" w:styleId="91">
    <w:name w:val="text Char"/>
    <w:link w:val="90"/>
    <w:qFormat/>
    <w:uiPriority w:val="0"/>
    <w:rPr>
      <w:sz w:val="24"/>
      <w:lang w:val="en-AU" w:eastAsia="en-GB"/>
    </w:rPr>
  </w:style>
  <w:style w:type="character" w:customStyle="1" w:styleId="92">
    <w:name w:val="TAH Car"/>
    <w:link w:val="65"/>
    <w:qFormat/>
    <w:uiPriority w:val="0"/>
    <w:rPr>
      <w:rFonts w:ascii="Arial" w:hAnsi="Arial" w:eastAsia="Times New Roman"/>
      <w:b/>
      <w:sz w:val="18"/>
      <w:lang w:val="en-GB" w:eastAsia="en-GB"/>
    </w:rPr>
  </w:style>
  <w:style w:type="character" w:customStyle="1" w:styleId="93">
    <w:name w:val="RAN1 text Char"/>
    <w:link w:val="83"/>
    <w:qFormat/>
    <w:uiPriority w:val="0"/>
    <w:rPr>
      <w:rFonts w:eastAsia="MS Mincho"/>
      <w:color w:val="0000FF"/>
      <w:kern w:val="2"/>
      <w:sz w:val="21"/>
    </w:rPr>
  </w:style>
  <w:style w:type="character" w:customStyle="1" w:styleId="94">
    <w:name w:val="RAN1 bullet1 Char"/>
    <w:link w:val="77"/>
    <w:qFormat/>
    <w:uiPriority w:val="0"/>
    <w:rPr>
      <w:sz w:val="22"/>
      <w:szCs w:val="22"/>
    </w:rPr>
  </w:style>
  <w:style w:type="character" w:customStyle="1" w:styleId="95">
    <w:name w:val="列出段落 Char"/>
    <w:link w:val="96"/>
    <w:qFormat/>
    <w:locked/>
    <w:uiPriority w:val="34"/>
    <w:rPr>
      <w:rFonts w:ascii="Times" w:hAnsi="Times" w:cs="Times"/>
      <w:szCs w:val="24"/>
      <w:lang w:val="en-GB" w:eastAsia="zh-CN"/>
    </w:rPr>
  </w:style>
  <w:style w:type="paragraph" w:customStyle="1" w:styleId="96">
    <w:name w:val="列出段落1"/>
    <w:basedOn w:val="1"/>
    <w:link w:val="95"/>
    <w:qFormat/>
    <w:uiPriority w:val="34"/>
    <w:pPr>
      <w:spacing w:after="0" w:line="240" w:lineRule="auto"/>
      <w:ind w:left="840" w:leftChars="400" w:hanging="720"/>
    </w:pPr>
    <w:rPr>
      <w:rFonts w:ascii="Times" w:hAnsi="Times" w:cs="Times"/>
      <w:szCs w:val="24"/>
      <w:lang w:val="en-GB"/>
    </w:rPr>
  </w:style>
  <w:style w:type="paragraph" w:customStyle="1" w:styleId="97">
    <w:name w:val="3GPP_Header"/>
    <w:basedOn w:val="1"/>
    <w:qFormat/>
    <w:uiPriority w:val="99"/>
    <w:pPr>
      <w:tabs>
        <w:tab w:val="left" w:pos="1800"/>
        <w:tab w:val="right" w:pos="9360"/>
      </w:tabs>
      <w:overflowPunct w:val="0"/>
      <w:autoSpaceDE w:val="0"/>
      <w:autoSpaceDN w:val="0"/>
      <w:adjustRightInd w:val="0"/>
      <w:spacing w:after="0" w:line="240" w:lineRule="auto"/>
    </w:pPr>
    <w:rPr>
      <w:rFonts w:ascii="Arial" w:hAnsi="Arial"/>
      <w:b/>
      <w:lang w:val="en-GB"/>
    </w:rPr>
  </w:style>
  <w:style w:type="character" w:customStyle="1" w:styleId="98">
    <w:name w:val="占位符文本1"/>
    <w:basedOn w:val="28"/>
    <w:unhideWhenUsed/>
    <w:qFormat/>
    <w:uiPriority w:val="99"/>
    <w:rPr>
      <w:color w:val="808080"/>
    </w:rPr>
  </w:style>
  <w:style w:type="paragraph" w:customStyle="1" w:styleId="99">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00">
    <w:name w:val="Placeholder Text1"/>
    <w:basedOn w:val="28"/>
    <w:semiHidden/>
    <w:qFormat/>
    <w:uiPriority w:val="99"/>
    <w:rPr>
      <w:color w:val="808080"/>
    </w:rPr>
  </w:style>
  <w:style w:type="paragraph" w:customStyle="1" w:styleId="101">
    <w:name w:val="List Paragraph2"/>
    <w:basedOn w:val="1"/>
    <w:qFormat/>
    <w:uiPriority w:val="34"/>
    <w:pPr>
      <w:ind w:firstLine="420" w:firstLineChars="200"/>
    </w:pPr>
  </w:style>
  <w:style w:type="paragraph" w:customStyle="1" w:styleId="102">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3">
    <w:name w:val="样式1"/>
    <w:basedOn w:val="1"/>
    <w:link w:val="104"/>
    <w:qFormat/>
    <w:uiPriority w:val="0"/>
    <w:pPr>
      <w:snapToGrid w:val="0"/>
      <w:spacing w:before="120" w:after="120" w:line="240" w:lineRule="auto"/>
    </w:pPr>
    <w:rPr>
      <w:rFonts w:eastAsia="微软雅黑"/>
      <w:b/>
    </w:rPr>
  </w:style>
  <w:style w:type="character" w:customStyle="1" w:styleId="104">
    <w:name w:val="样式1 Char"/>
    <w:basedOn w:val="28"/>
    <w:link w:val="103"/>
    <w:qFormat/>
    <w:uiPriority w:val="0"/>
    <w:rPr>
      <w:rFonts w:eastAsia="微软雅黑"/>
      <w:b/>
      <w:sz w:val="22"/>
      <w:szCs w:val="22"/>
    </w:rPr>
  </w:style>
  <w:style w:type="paragraph" w:customStyle="1" w:styleId="105">
    <w:name w:val="Style1"/>
    <w:basedOn w:val="1"/>
    <w:link w:val="106"/>
    <w:qFormat/>
    <w:uiPriority w:val="0"/>
    <w:pPr>
      <w:spacing w:after="180"/>
      <w:ind w:firstLine="360"/>
    </w:pPr>
    <w:rPr>
      <w:rFonts w:eastAsia="Malgun Gothic" w:cs="Batang"/>
      <w:lang w:val="en-GB" w:eastAsia="en-US"/>
    </w:rPr>
  </w:style>
  <w:style w:type="character" w:customStyle="1" w:styleId="106">
    <w:name w:val="Style1 Char"/>
    <w:link w:val="105"/>
    <w:qFormat/>
    <w:uiPriority w:val="0"/>
    <w:rPr>
      <w:rFonts w:eastAsia="Malgun Gothic" w:cs="Batang"/>
      <w:lang w:val="en-GB" w:eastAsia="en-US"/>
    </w:rPr>
  </w:style>
  <w:style w:type="paragraph" w:customStyle="1" w:styleId="107">
    <w:name w:val="0 Main text"/>
    <w:basedOn w:val="49"/>
    <w:qFormat/>
    <w:uiPriority w:val="0"/>
    <w:pPr>
      <w:spacing w:before="0" w:after="100" w:afterAutospacing="1"/>
      <w:ind w:firstLine="360" w:firstLineChars="0"/>
    </w:pPr>
    <w:rPr>
      <w:rFonts w:cs="Batang"/>
      <w:lang w:eastAsia="en-US"/>
    </w:rPr>
  </w:style>
  <w:style w:type="paragraph" w:customStyle="1" w:styleId="108">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9">
    <w:name w:val="List Paragraph3"/>
    <w:basedOn w:val="1"/>
    <w:qFormat/>
    <w:uiPriority w:val="99"/>
    <w:pPr>
      <w:ind w:firstLine="420" w:firstLineChars="200"/>
    </w:pPr>
  </w:style>
  <w:style w:type="paragraph" w:customStyle="1" w:styleId="110">
    <w:name w:val="B3"/>
    <w:basedOn w:val="11"/>
    <w:qFormat/>
    <w:uiPriority w:val="0"/>
    <w:pPr>
      <w:spacing w:after="180" w:line="240" w:lineRule="auto"/>
      <w:ind w:left="1135" w:leftChars="0" w:hanging="284" w:firstLineChars="0"/>
      <w:contextualSpacing w:val="0"/>
    </w:pPr>
    <w:rPr>
      <w:rFonts w:eastAsia="MS Mincho"/>
      <w:lang w:val="en-GB" w:eastAsia="en-US"/>
    </w:rPr>
  </w:style>
  <w:style w:type="paragraph" w:customStyle="1" w:styleId="111">
    <w:name w:val="B2"/>
    <w:basedOn w:val="17"/>
    <w:qFormat/>
    <w:uiPriority w:val="0"/>
    <w:pPr>
      <w:ind w:left="851" w:hanging="284"/>
    </w:pPr>
    <w:rPr>
      <w:lang w:val="zh-CN"/>
    </w:rPr>
  </w:style>
  <w:style w:type="paragraph" w:customStyle="1" w:styleId="112">
    <w:name w:val="B4"/>
    <w:basedOn w:val="1"/>
    <w:qFormat/>
    <w:uiPriority w:val="0"/>
    <w:pPr>
      <w:ind w:left="1418" w:hanging="284"/>
    </w:pPr>
  </w:style>
  <w:style w:type="paragraph" w:customStyle="1" w:styleId="113">
    <w:name w:val="TAN"/>
    <w:basedOn w:val="43"/>
    <w:qFormat/>
    <w:uiPriority w:val="0"/>
    <w:pPr>
      <w:ind w:left="851" w:hanging="851"/>
    </w:pPr>
  </w:style>
  <w:style w:type="paragraph" w:customStyle="1" w:styleId="114">
    <w:name w:val="References"/>
    <w:basedOn w:val="1"/>
    <w:qFormat/>
    <w:uiPriority w:val="0"/>
    <w:pPr>
      <w:numPr>
        <w:ilvl w:val="0"/>
        <w:numId w:val="5"/>
      </w:numPr>
      <w:snapToGrid w:val="0"/>
      <w:spacing w:after="60"/>
    </w:pPr>
    <w:rPr>
      <w:szCs w:val="16"/>
    </w:rPr>
  </w:style>
  <w:style w:type="paragraph" w:customStyle="1" w:styleId="115">
    <w:name w:val="03_Proposal"/>
    <w:basedOn w:val="116"/>
    <w:qFormat/>
    <w:uiPriority w:val="0"/>
    <w:rPr>
      <w:b/>
      <w:i w:val="0"/>
      <w:iCs w:val="0"/>
    </w:rPr>
  </w:style>
  <w:style w:type="paragraph" w:customStyle="1" w:styleId="116">
    <w:name w:val="04_Proposal1"/>
    <w:basedOn w:val="1"/>
    <w:qFormat/>
    <w:uiPriority w:val="0"/>
    <w:rPr>
      <w:bCs/>
      <w:i/>
      <w:iCs/>
    </w:rPr>
  </w:style>
  <w:style w:type="paragraph" w:customStyle="1" w:styleId="117">
    <w:name w:val="List Paragraph4"/>
    <w:basedOn w:val="1"/>
    <w:qFormat/>
    <w:uiPriority w:val="34"/>
    <w:pPr>
      <w:ind w:left="720"/>
      <w:contextualSpacing/>
    </w:pPr>
  </w:style>
  <w:style w:type="paragraph" w:customStyle="1" w:styleId="118">
    <w:name w:val="Reference"/>
    <w:basedOn w:val="16"/>
    <w:qFormat/>
    <w:uiPriority w:val="0"/>
    <w:pPr>
      <w:numPr>
        <w:ilvl w:val="0"/>
        <w:numId w:val="6"/>
      </w:numPr>
      <w:spacing w:after="50"/>
    </w:pPr>
    <w:rPr>
      <w:color w:val="000000" w:themeColor="text1"/>
      <w14:textFill>
        <w14:solidFill>
          <w14:schemeClr w14:val="tx1"/>
        </w14:solidFill>
      </w14:textFill>
    </w:rPr>
  </w:style>
  <w:style w:type="paragraph" w:customStyle="1" w:styleId="119">
    <w:name w:val="List Paragraph5"/>
    <w:basedOn w:val="1"/>
    <w:qFormat/>
    <w:uiPriority w:val="34"/>
    <w:pPr>
      <w:ind w:firstLine="420" w:firstLineChars="200"/>
    </w:pPr>
  </w:style>
  <w:style w:type="paragraph" w:customStyle="1" w:styleId="120">
    <w:name w:val="PatApp Body"/>
    <w:basedOn w:val="1"/>
    <w:qFormat/>
    <w:uiPriority w:val="0"/>
    <w:pPr>
      <w:numPr>
        <w:ilvl w:val="0"/>
        <w:numId w:val="7"/>
      </w:numPr>
      <w:tabs>
        <w:tab w:val="left" w:pos="1080"/>
        <w:tab w:val="clear" w:pos="8640"/>
      </w:tabs>
      <w:spacing w:after="240"/>
      <w:ind w:left="0"/>
    </w:pPr>
    <w:rPr>
      <w:rFonts w:eastAsia="Times New Roman"/>
      <w:snapToGrid w:val="0"/>
      <w:lang w:eastAsia="en-US"/>
    </w:rPr>
  </w:style>
  <w:style w:type="character" w:customStyle="1" w:styleId="121">
    <w:name w:val="Caption Char1"/>
    <w:qFormat/>
    <w:uiPriority w:val="0"/>
    <w:rPr>
      <w:rFonts w:ascii="Times New Roman" w:hAnsi="Times New Roman"/>
      <w:b/>
      <w:bCs/>
      <w:lang w:val="en-GB" w:eastAsia="sv-SE"/>
    </w:rPr>
  </w:style>
  <w:style w:type="paragraph" w:customStyle="1" w:styleId="122">
    <w:name w:val="列出段落2"/>
    <w:basedOn w:val="1"/>
    <w:qFormat/>
    <w:uiPriority w:val="34"/>
    <w:pPr>
      <w:ind w:firstLine="420" w:firstLineChars="200"/>
    </w:pPr>
  </w:style>
  <w:style w:type="paragraph" w:customStyle="1" w:styleId="123">
    <w:name w:val="List Paragraph6"/>
    <w:basedOn w:val="1"/>
    <w:qFormat/>
    <w:uiPriority w:val="34"/>
    <w:pPr>
      <w:ind w:firstLine="420" w:firstLineChars="200"/>
    </w:pPr>
  </w:style>
  <w:style w:type="paragraph" w:customStyle="1" w:styleId="124">
    <w:name w:val="List Paragraph7"/>
    <w:basedOn w:val="1"/>
    <w:qFormat/>
    <w:uiPriority w:val="99"/>
    <w:pPr>
      <w:ind w:firstLine="420" w:firstLineChars="200"/>
    </w:pPr>
  </w:style>
  <w:style w:type="paragraph" w:customStyle="1" w:styleId="125">
    <w:name w:val="Revision1"/>
    <w:hidden/>
    <w:semiHidden/>
    <w:qFormat/>
    <w:uiPriority w:val="99"/>
    <w:pPr>
      <w:spacing w:after="160" w:line="259" w:lineRule="auto"/>
    </w:pPr>
    <w:rPr>
      <w:rFonts w:ascii="Times New Roman" w:hAnsi="Times New Roman" w:eastAsia="宋体" w:cs="Times New Roman"/>
      <w:lang w:val="en-US" w:eastAsia="zh-CN" w:bidi="ar-SA"/>
    </w:rPr>
  </w:style>
  <w:style w:type="character" w:customStyle="1" w:styleId="126">
    <w:name w:val="TAL Char"/>
    <w:link w:val="43"/>
    <w:qFormat/>
    <w:locked/>
    <w:uiPriority w:val="0"/>
    <w:rPr>
      <w:rFonts w:ascii="Arial" w:hAnsi="Arial"/>
      <w:sz w:val="18"/>
      <w:lang w:val="en-GB" w:eastAsia="en-US"/>
    </w:rPr>
  </w:style>
  <w:style w:type="paragraph" w:customStyle="1" w:styleId="127">
    <w:name w:val="No Spacing11"/>
    <w:qFormat/>
    <w:uiPriority w:val="1"/>
    <w:rPr>
      <w:rFonts w:ascii="Times New Roman" w:hAnsi="Times New Roman" w:eastAsia="宋体" w:cs="Times New Roman"/>
      <w:sz w:val="22"/>
      <w:szCs w:val="22"/>
      <w:lang w:val="en-US" w:eastAsia="zh-CN" w:bidi="ar-SA"/>
    </w:rPr>
  </w:style>
  <w:style w:type="paragraph" w:customStyle="1" w:styleId="128">
    <w:name w:val="tal"/>
    <w:basedOn w:val="1"/>
    <w:qFormat/>
    <w:uiPriority w:val="0"/>
    <w:pPr>
      <w:keepNext/>
      <w:spacing w:after="0" w:afterLines="0" w:line="240" w:lineRule="auto"/>
      <w:jc w:val="left"/>
    </w:pPr>
    <w:rPr>
      <w:rFonts w:ascii="Arial" w:hAnsi="Arial" w:eastAsia="Gulim" w:cs="Arial"/>
      <w:sz w:val="18"/>
      <w:szCs w:val="18"/>
      <w:lang w:eastAsia="ko-KR"/>
    </w:rPr>
  </w:style>
  <w:style w:type="paragraph" w:styleId="129">
    <w:name w:val="List Paragraph"/>
    <w:basedOn w:val="1"/>
    <w:qFormat/>
    <w:uiPriority w:val="99"/>
    <w:pPr>
      <w:ind w:left="720"/>
      <w:contextualSpacing/>
    </w:pPr>
  </w:style>
  <w:style w:type="paragraph" w:customStyle="1" w:styleId="130">
    <w:name w:val="Revision2"/>
    <w:hidden/>
    <w:semiHidden/>
    <w:qFormat/>
    <w:uiPriority w:val="99"/>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9.emf"/><Relationship Id="rId24" Type="http://schemas.openxmlformats.org/officeDocument/2006/relationships/oleObject" Target="embeddings/oleObject7.bin"/><Relationship Id="rId23" Type="http://schemas.openxmlformats.org/officeDocument/2006/relationships/image" Target="media/image8.emf"/><Relationship Id="rId22" Type="http://schemas.openxmlformats.org/officeDocument/2006/relationships/oleObject" Target="embeddings/oleObject6.bin"/><Relationship Id="rId21" Type="http://schemas.openxmlformats.org/officeDocument/2006/relationships/image" Target="media/image7.e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4.bin"/><Relationship Id="rId17" Type="http://schemas.openxmlformats.org/officeDocument/2006/relationships/image" Target="media/image5.emf"/><Relationship Id="rId16" Type="http://schemas.openxmlformats.org/officeDocument/2006/relationships/oleObject" Target="embeddings/oleObject3.bin"/><Relationship Id="rId15" Type="http://schemas.openxmlformats.org/officeDocument/2006/relationships/image" Target="media/image4.wmf"/><Relationship Id="rId14" Type="http://schemas.openxmlformats.org/officeDocument/2006/relationships/oleObject" Target="embeddings/oleObject2.bin"/><Relationship Id="rId13" Type="http://schemas.openxmlformats.org/officeDocument/2006/relationships/image" Target="media/image3.emf"/><Relationship Id="rId12" Type="http://schemas.openxmlformats.org/officeDocument/2006/relationships/oleObject" Target="embeddings/oleObject1.bin"/><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B4B323-E924-4626-A7CB-EF41D21FB1EB}">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18</Pages>
  <Words>6298</Words>
  <Characters>35904</Characters>
  <Lines>299</Lines>
  <Paragraphs>84</Paragraphs>
  <TotalTime>1</TotalTime>
  <ScaleCrop>false</ScaleCrop>
  <LinksUpToDate>false</LinksUpToDate>
  <CharactersWithSpaces>42118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2020-10-23T14:51:00Z</dcterms:created>
  <dc:creator>ZTE</dc:creator>
  <cp:lastModifiedBy>HeZhen</cp:lastModifiedBy>
  <dcterms:modified xsi:type="dcterms:W3CDTF">2021-04-07T02:34:15Z</dcterms:modified>
  <dc:title>3GPP TSG-RAN WG1</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